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9558" w14:textId="77777777" w:rsidR="005B1CB5" w:rsidRDefault="005B1CB5" w:rsidP="008D1DD9">
      <w:pPr>
        <w:pStyle w:val="Heading7"/>
        <w:rPr>
          <w:rFonts w:eastAsia="Tahoma"/>
        </w:rPr>
      </w:pPr>
    </w:p>
    <w:p w14:paraId="2EE713BB" w14:textId="0AA2CA4D" w:rsidR="000F54CF" w:rsidRPr="00753014" w:rsidRDefault="00B40E79" w:rsidP="00D579CD">
      <w:pPr>
        <w:spacing w:after="0"/>
        <w:jc w:val="center"/>
        <w:rPr>
          <w:rFonts w:ascii="TH SarabunPSK" w:eastAsia="Tahoma" w:hAnsi="TH SarabunPSK" w:cs="TH SarabunPSK" w:hint="cs"/>
          <w:b/>
          <w:sz w:val="32"/>
          <w:szCs w:val="32"/>
          <w:cs/>
        </w:rPr>
      </w:pPr>
      <w:r w:rsidRPr="005E443F">
        <w:rPr>
          <w:rFonts w:ascii="TH SarabunPSK" w:eastAsia="Tahoma" w:hAnsi="TH SarabunPSK" w:cs="TH SarabunPSK"/>
          <w:b/>
          <w:bCs/>
          <w:sz w:val="32"/>
          <w:szCs w:val="32"/>
          <w:cs/>
        </w:rPr>
        <w:t>รายการตรวจสอบความสอดคล้องตามข้อกำหนด</w:t>
      </w:r>
      <w:r w:rsidR="00F91E30" w:rsidRPr="00F91E30">
        <w:rPr>
          <w:rFonts w:ascii="TH SarabunPSK" w:eastAsia="Tahoma" w:hAnsi="TH SarabunPSK" w:cs="TH SarabunPSK" w:hint="cs"/>
          <w:b/>
          <w:bCs/>
          <w:sz w:val="32"/>
          <w:szCs w:val="32"/>
          <w:cs/>
        </w:rPr>
        <w:t>ฉลากผลิตภัณฑ์หมุนเวียน</w:t>
      </w:r>
      <w:r w:rsidR="00753014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="00753014">
        <w:rPr>
          <w:rFonts w:ascii="TH SarabunPSK" w:eastAsia="Tahoma" w:hAnsi="TH SarabunPSK" w:cs="TH SarabunPSK" w:hint="cs"/>
          <w:b/>
          <w:bCs/>
          <w:sz w:val="32"/>
          <w:szCs w:val="32"/>
          <w:cs/>
        </w:rPr>
        <w:t>(สำหรับผู้ตรวจประเมิน)</w:t>
      </w:r>
    </w:p>
    <w:p w14:paraId="71ECC0B3" w14:textId="77777777" w:rsidR="00D579CD" w:rsidRPr="00D579CD" w:rsidRDefault="00D579CD" w:rsidP="00D579CD">
      <w:pPr>
        <w:spacing w:after="0"/>
        <w:jc w:val="center"/>
        <w:rPr>
          <w:rFonts w:ascii="TH SarabunPSK" w:eastAsia="Tahoma" w:hAnsi="TH SarabunPSK" w:cs="TH SarabunPSK"/>
          <w:b/>
          <w:sz w:val="32"/>
          <w:szCs w:val="32"/>
        </w:rPr>
      </w:pPr>
    </w:p>
    <w:tbl>
      <w:tblPr>
        <w:tblW w:w="10096" w:type="dxa"/>
        <w:tblInd w:w="699" w:type="dxa"/>
        <w:tblLayout w:type="fixed"/>
        <w:tblLook w:val="01E0" w:firstRow="1" w:lastRow="1" w:firstColumn="1" w:lastColumn="1" w:noHBand="0" w:noVBand="0"/>
      </w:tblPr>
      <w:tblGrid>
        <w:gridCol w:w="3346"/>
        <w:gridCol w:w="540"/>
        <w:gridCol w:w="6210"/>
      </w:tblGrid>
      <w:tr w:rsidR="00D579CD" w:rsidRPr="00EB1352" w14:paraId="07BE855A" w14:textId="77777777" w:rsidTr="00265F49">
        <w:trPr>
          <w:trHeight w:hRule="exact" w:val="454"/>
        </w:trPr>
        <w:tc>
          <w:tcPr>
            <w:tcW w:w="3346" w:type="dxa"/>
          </w:tcPr>
          <w:p w14:paraId="22A99614" w14:textId="77777777" w:rsidR="00D579CD" w:rsidRPr="00EB1352" w:rsidRDefault="003A2775" w:rsidP="000F54C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วันที่ตรวจประเมิน</w:t>
            </w:r>
          </w:p>
        </w:tc>
        <w:tc>
          <w:tcPr>
            <w:tcW w:w="540" w:type="dxa"/>
          </w:tcPr>
          <w:p w14:paraId="5EEF4B44" w14:textId="77777777" w:rsidR="00D579CD" w:rsidRPr="00EB1352" w:rsidRDefault="00D579CD" w:rsidP="000F54C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901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D274CEB" w14:textId="77777777" w:rsidR="00D579CD" w:rsidRPr="00EB1352" w:rsidRDefault="00F218F7" w:rsidP="000F54C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3A2775" w:rsidRPr="00EB1352" w14:paraId="3630E17B" w14:textId="77777777" w:rsidTr="00265F49">
        <w:trPr>
          <w:trHeight w:hRule="exact" w:val="454"/>
        </w:trPr>
        <w:tc>
          <w:tcPr>
            <w:tcW w:w="3346" w:type="dxa"/>
          </w:tcPr>
          <w:p w14:paraId="330E8717" w14:textId="5854E701" w:rsidR="003A2775" w:rsidRPr="00EB1352" w:rsidRDefault="003A2775" w:rsidP="00BF60FC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ชื่อบริษัท (</w:t>
            </w:r>
            <w:r w:rsidR="00BF60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สำนักงานใหญ่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0" w:type="dxa"/>
          </w:tcPr>
          <w:p w14:paraId="4F615C70" w14:textId="77777777" w:rsidR="003A2775" w:rsidRPr="00EB1352" w:rsidRDefault="003A2775" w:rsidP="003A277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901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652421C8" w14:textId="77777777" w:rsidR="003A2775" w:rsidRPr="00EB1352" w:rsidRDefault="003A2775" w:rsidP="003A277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3A2775" w:rsidRPr="00EB1352" w14:paraId="4FD3B6F1" w14:textId="77777777" w:rsidTr="00265F49">
        <w:trPr>
          <w:trHeight w:hRule="exact" w:val="454"/>
        </w:trPr>
        <w:tc>
          <w:tcPr>
            <w:tcW w:w="3346" w:type="dxa"/>
          </w:tcPr>
          <w:p w14:paraId="0C46EDC6" w14:textId="4F73F193" w:rsidR="003A2775" w:rsidRDefault="003A2775" w:rsidP="003A277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9901BB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 </w:t>
            </w:r>
            <w:r w:rsidR="00BF60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(สำนักงานใหญ่)</w:t>
            </w:r>
          </w:p>
        </w:tc>
        <w:tc>
          <w:tcPr>
            <w:tcW w:w="540" w:type="dxa"/>
          </w:tcPr>
          <w:p w14:paraId="181C805A" w14:textId="77777777" w:rsidR="003A2775" w:rsidRDefault="003A2775" w:rsidP="003A277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9901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874B1BF" w14:textId="77777777" w:rsidR="003A2775" w:rsidRDefault="003A2775" w:rsidP="003A277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25694FED" w14:textId="77777777" w:rsidTr="00265F49">
        <w:trPr>
          <w:trHeight w:hRule="exact" w:val="454"/>
        </w:trPr>
        <w:tc>
          <w:tcPr>
            <w:tcW w:w="3346" w:type="dxa"/>
          </w:tcPr>
          <w:p w14:paraId="65CC3F75" w14:textId="6E7EE9C5" w:rsidR="00BF60FC" w:rsidRPr="009901BB" w:rsidRDefault="00BF60FC" w:rsidP="00BF60FC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ชื่อบริษัท (สถานที่ผลิต)</w:t>
            </w:r>
          </w:p>
        </w:tc>
        <w:tc>
          <w:tcPr>
            <w:tcW w:w="540" w:type="dxa"/>
          </w:tcPr>
          <w:p w14:paraId="67AB56A7" w14:textId="15DB1CFC" w:rsidR="00BF60FC" w:rsidRPr="009901BB" w:rsidRDefault="00BF60FC" w:rsidP="00BF6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1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3328203B" w14:textId="11F3B11D" w:rsidR="00BF60FC" w:rsidRPr="00EF1235" w:rsidRDefault="00BF60FC" w:rsidP="00BF60F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61648C4E" w14:textId="77777777" w:rsidTr="00265F49">
        <w:trPr>
          <w:trHeight w:hRule="exact" w:val="454"/>
        </w:trPr>
        <w:tc>
          <w:tcPr>
            <w:tcW w:w="3346" w:type="dxa"/>
          </w:tcPr>
          <w:p w14:paraId="7E7130DF" w14:textId="4CDE568A" w:rsidR="00BF60FC" w:rsidRPr="009901BB" w:rsidRDefault="00BF60FC" w:rsidP="00BF60FC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9901BB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(สถานที่ผลิต)</w:t>
            </w:r>
          </w:p>
        </w:tc>
        <w:tc>
          <w:tcPr>
            <w:tcW w:w="540" w:type="dxa"/>
          </w:tcPr>
          <w:p w14:paraId="576CE1CE" w14:textId="08AABE08" w:rsidR="00BF60FC" w:rsidRPr="009901BB" w:rsidRDefault="00BF60FC" w:rsidP="00BF6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1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071F935A" w14:textId="194900D7" w:rsidR="00BF60FC" w:rsidRPr="00EF1235" w:rsidRDefault="00BF60FC" w:rsidP="00BF60F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0D0EDAC7" w14:textId="77777777" w:rsidTr="00265F49">
        <w:trPr>
          <w:trHeight w:hRule="exact" w:val="454"/>
        </w:trPr>
        <w:tc>
          <w:tcPr>
            <w:tcW w:w="3346" w:type="dxa"/>
          </w:tcPr>
          <w:p w14:paraId="081E0B21" w14:textId="77777777" w:rsidR="00BF60FC" w:rsidRDefault="00BF60FC" w:rsidP="00BF60FC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รายละเอียดผลิตภัณฑ์</w:t>
            </w:r>
          </w:p>
        </w:tc>
        <w:tc>
          <w:tcPr>
            <w:tcW w:w="540" w:type="dxa"/>
          </w:tcPr>
          <w:p w14:paraId="039DA0B9" w14:textId="77777777" w:rsidR="00BF60FC" w:rsidRDefault="00BF60FC" w:rsidP="00BF60FC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10" w:type="dxa"/>
          </w:tcPr>
          <w:p w14:paraId="512B815E" w14:textId="77777777" w:rsidR="00BF60FC" w:rsidRDefault="00BF60FC" w:rsidP="00BF60FC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60FC" w:rsidRPr="00EB1352" w14:paraId="579E4025" w14:textId="77777777" w:rsidTr="00265F49">
        <w:trPr>
          <w:trHeight w:hRule="exact" w:val="454"/>
        </w:trPr>
        <w:tc>
          <w:tcPr>
            <w:tcW w:w="3346" w:type="dxa"/>
          </w:tcPr>
          <w:p w14:paraId="0DEBBFCA" w14:textId="77777777" w:rsidR="00BF60FC" w:rsidRPr="00EB1352" w:rsidRDefault="00BF60FC" w:rsidP="00BF60FC">
            <w:pPr>
              <w:ind w:left="355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40" w:type="dxa"/>
          </w:tcPr>
          <w:p w14:paraId="28296467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56FD89D9" w14:textId="6E3CC206" w:rsidR="00BF60FC" w:rsidRPr="00EF1235" w:rsidRDefault="00BF60FC" w:rsidP="007530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F12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ผลิตภัณฑ์</w:t>
            </w:r>
            <w:r w:rsidR="007530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BF60FC" w:rsidRPr="00EB1352" w14:paraId="0B0C3236" w14:textId="77777777" w:rsidTr="00265F49">
        <w:trPr>
          <w:trHeight w:hRule="exact" w:val="454"/>
        </w:trPr>
        <w:tc>
          <w:tcPr>
            <w:tcW w:w="3346" w:type="dxa"/>
          </w:tcPr>
          <w:p w14:paraId="6D0F9E03" w14:textId="77777777" w:rsidR="00BF60FC" w:rsidRPr="00EB1352" w:rsidRDefault="00BF60FC" w:rsidP="00BF60FC">
            <w:pPr>
              <w:ind w:left="355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0B2DB960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10" w:type="dxa"/>
          </w:tcPr>
          <w:p w14:paraId="742D5B15" w14:textId="3B453DD5" w:rsidR="00BF60FC" w:rsidRPr="00EF1235" w:rsidRDefault="00BF60FC" w:rsidP="007530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F12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301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บรรจุภัณฑ์.........................</w:t>
            </w:r>
          </w:p>
        </w:tc>
      </w:tr>
      <w:tr w:rsidR="00BF60FC" w:rsidRPr="00EB1352" w14:paraId="01556731" w14:textId="77777777" w:rsidTr="00265F49">
        <w:trPr>
          <w:trHeight w:hRule="exact" w:val="883"/>
        </w:trPr>
        <w:tc>
          <w:tcPr>
            <w:tcW w:w="3346" w:type="dxa"/>
          </w:tcPr>
          <w:p w14:paraId="5BEC8DFD" w14:textId="77777777" w:rsidR="00BF60FC" w:rsidRPr="00EB1352" w:rsidRDefault="00BF60FC" w:rsidP="00BF60FC">
            <w:pPr>
              <w:ind w:left="355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รูปแบบธุรกิจ</w:t>
            </w:r>
          </w:p>
        </w:tc>
        <w:tc>
          <w:tcPr>
            <w:tcW w:w="540" w:type="dxa"/>
          </w:tcPr>
          <w:p w14:paraId="1D0FFD0D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70D9DC7B" w14:textId="77777777" w:rsidR="00BF60FC" w:rsidRDefault="00BF60FC" w:rsidP="00BF6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123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F12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1235">
              <w:rPr>
                <w:rFonts w:ascii="TH SarabunPSK" w:hAnsi="TH SarabunPSK" w:cs="TH SarabunPSK"/>
                <w:sz w:val="32"/>
                <w:szCs w:val="32"/>
              </w:rPr>
              <w:t>Business-to-Business (B</w:t>
            </w:r>
            <w:r w:rsidRPr="00EF123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F1235">
              <w:rPr>
                <w:rFonts w:ascii="TH SarabunPSK" w:hAnsi="TH SarabunPSK" w:cs="TH SarabunPSK"/>
                <w:sz w:val="32"/>
                <w:szCs w:val="32"/>
              </w:rPr>
              <w:t>B)</w:t>
            </w:r>
            <w:r w:rsidRPr="00EF12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096BA2E8" w14:textId="664143FB" w:rsidR="00BF60FC" w:rsidRPr="00EF1235" w:rsidRDefault="00BF60FC" w:rsidP="00BF60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123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F12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1235">
              <w:rPr>
                <w:rFonts w:ascii="TH SarabunPSK" w:hAnsi="TH SarabunPSK" w:cs="TH SarabunPSK"/>
                <w:sz w:val="32"/>
                <w:szCs w:val="32"/>
              </w:rPr>
              <w:t>Business-to-Consumer (B2C)</w:t>
            </w:r>
          </w:p>
        </w:tc>
      </w:tr>
      <w:tr w:rsidR="00BF60FC" w:rsidRPr="00EB1352" w14:paraId="3D8983D4" w14:textId="77777777" w:rsidTr="00265F49">
        <w:trPr>
          <w:trHeight w:hRule="exact" w:val="532"/>
        </w:trPr>
        <w:tc>
          <w:tcPr>
            <w:tcW w:w="3346" w:type="dxa"/>
          </w:tcPr>
          <w:p w14:paraId="44646C29" w14:textId="1FA263B8" w:rsidR="00BF60FC" w:rsidRPr="00EB1352" w:rsidRDefault="00BF60FC" w:rsidP="00BF60FC">
            <w:pPr>
              <w:ind w:left="355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อายุการใช้งานของผลิตภัณฑ์</w:t>
            </w:r>
          </w:p>
        </w:tc>
        <w:tc>
          <w:tcPr>
            <w:tcW w:w="540" w:type="dxa"/>
            <w:vAlign w:val="center"/>
          </w:tcPr>
          <w:p w14:paraId="5B9644EC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2EDF09D9" w14:textId="64549411" w:rsidR="00BF60FC" w:rsidRPr="00EF1235" w:rsidRDefault="00753014" w:rsidP="00BF60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 ปี</w:t>
            </w:r>
          </w:p>
        </w:tc>
      </w:tr>
      <w:tr w:rsidR="00BF60FC" w:rsidRPr="00EB1352" w14:paraId="2907964C" w14:textId="77777777" w:rsidTr="00265F49">
        <w:trPr>
          <w:trHeight w:hRule="exact" w:val="454"/>
        </w:trPr>
        <w:tc>
          <w:tcPr>
            <w:tcW w:w="3346" w:type="dxa"/>
          </w:tcPr>
          <w:p w14:paraId="5F93261E" w14:textId="77777777" w:rsidR="00BF60FC" w:rsidRPr="00EB1352" w:rsidRDefault="00BF60FC" w:rsidP="00BF60FC">
            <w:pPr>
              <w:ind w:left="355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540" w:type="dxa"/>
          </w:tcPr>
          <w:p w14:paraId="2B2A3F64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0ECEA7CA" w14:textId="0E5A87F2" w:rsidR="00BF60FC" w:rsidRPr="00EB1352" w:rsidRDefault="00BF60FC" w:rsidP="00200E23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</w:t>
            </w:r>
          </w:p>
        </w:tc>
      </w:tr>
      <w:tr w:rsidR="00BF60FC" w:rsidRPr="00EB1352" w14:paraId="47317787" w14:textId="77777777" w:rsidTr="00265F49">
        <w:trPr>
          <w:trHeight w:hRule="exact" w:val="454"/>
        </w:trPr>
        <w:tc>
          <w:tcPr>
            <w:tcW w:w="3346" w:type="dxa"/>
          </w:tcPr>
          <w:p w14:paraId="231DB801" w14:textId="77777777" w:rsidR="00BF60FC" w:rsidRPr="00EB1352" w:rsidRDefault="00BF60FC" w:rsidP="00BF60FC">
            <w:pPr>
              <w:ind w:left="355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540" w:type="dxa"/>
          </w:tcPr>
          <w:p w14:paraId="4628C266" w14:textId="77777777" w:rsidR="00BF60FC" w:rsidRPr="00EB1352" w:rsidRDefault="00BF60FC" w:rsidP="00BF60FC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6210" w:type="dxa"/>
          </w:tcPr>
          <w:p w14:paraId="24B69A33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ได้แก่</w:t>
            </w:r>
          </w:p>
          <w:p w14:paraId="0C465386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00FEE99D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E54ECC6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2B0C3F60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0FE803D8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52E83143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30B6AF3B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6B6D46BE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5A3FDED5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5F547C4D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……………………………………………………………………….………………………….</w:t>
            </w:r>
          </w:p>
        </w:tc>
      </w:tr>
      <w:tr w:rsidR="00BF60FC" w:rsidRPr="00EB1352" w14:paraId="15B681ED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4FC362EA" w14:textId="2E9F1D9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3063EE85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15A32F8D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26E94378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04C223EF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472A0B6A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5DCE1C8C" w14:textId="77777777" w:rsidR="00BF60FC" w:rsidRPr="00EB1352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3C11BB19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585E7DEC" w14:textId="14A81E41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732E50AE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3098DBA0" w14:textId="770BC2D6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338C1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24460AA5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0C228B48" w14:textId="193E8401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338C1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0DD92EA4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65306D2C" w14:textId="0E5AE25F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338C1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</w:tc>
      </w:tr>
      <w:tr w:rsidR="00BF60FC" w:rsidRPr="00EB1352" w14:paraId="1F13DD48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6BD86C9E" w14:textId="77777777" w:rsidR="00BF60FC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338C1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  <w:p w14:paraId="7FEC15F9" w14:textId="48C9413C" w:rsidR="00200B11" w:rsidRPr="00EF1235" w:rsidRDefault="00200B11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F60FC" w:rsidRPr="00EB1352" w14:paraId="3E0E20AF" w14:textId="77777777" w:rsidTr="00265F49">
        <w:trPr>
          <w:trHeight w:hRule="exact" w:val="454"/>
        </w:trPr>
        <w:tc>
          <w:tcPr>
            <w:tcW w:w="10096" w:type="dxa"/>
            <w:gridSpan w:val="3"/>
          </w:tcPr>
          <w:p w14:paraId="64C8207B" w14:textId="77777777" w:rsidR="00BF60FC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338C1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……………………………………………………………………..………………………………………………………………………………………</w:t>
            </w:r>
          </w:p>
          <w:p w14:paraId="15750262" w14:textId="77777777" w:rsidR="00200B11" w:rsidRDefault="00200B11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9C73A99" w14:textId="77777777" w:rsidR="00200B11" w:rsidRDefault="00200B11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BA618B1" w14:textId="03BCB70E" w:rsidR="00200B11" w:rsidRPr="00EF1235" w:rsidRDefault="00200B11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00B11" w:rsidRPr="00EB1352" w14:paraId="7E48C229" w14:textId="77777777" w:rsidTr="00265F49">
        <w:trPr>
          <w:trHeight w:hRule="exact" w:val="910"/>
        </w:trPr>
        <w:tc>
          <w:tcPr>
            <w:tcW w:w="10096" w:type="dxa"/>
            <w:gridSpan w:val="3"/>
          </w:tcPr>
          <w:p w14:paraId="170A3966" w14:textId="5A7791B9" w:rsidR="00FD2538" w:rsidRPr="002338C1" w:rsidRDefault="00FD2538" w:rsidP="00BF60FC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</w:p>
        </w:tc>
      </w:tr>
      <w:tr w:rsidR="00BF60FC" w:rsidRPr="00EB1352" w14:paraId="0B9F339B" w14:textId="77777777" w:rsidTr="00265F49">
        <w:trPr>
          <w:trHeight w:hRule="exact" w:val="454"/>
        </w:trPr>
        <w:tc>
          <w:tcPr>
            <w:tcW w:w="3346" w:type="dxa"/>
          </w:tcPr>
          <w:p w14:paraId="3304B235" w14:textId="77777777" w:rsidR="00BF60FC" w:rsidRPr="00C66DCF" w:rsidRDefault="00BF60FC" w:rsidP="00BF60FC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66DC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ผู้ประสานงาน</w:t>
            </w:r>
          </w:p>
        </w:tc>
        <w:tc>
          <w:tcPr>
            <w:tcW w:w="540" w:type="dxa"/>
          </w:tcPr>
          <w:p w14:paraId="563566C8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210" w:type="dxa"/>
          </w:tcPr>
          <w:p w14:paraId="59B4E417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F60FC" w:rsidRPr="00EB1352" w14:paraId="272B9A17" w14:textId="77777777" w:rsidTr="00265F49">
        <w:trPr>
          <w:trHeight w:hRule="exact" w:val="454"/>
        </w:trPr>
        <w:tc>
          <w:tcPr>
            <w:tcW w:w="3346" w:type="dxa"/>
          </w:tcPr>
          <w:p w14:paraId="758B6E56" w14:textId="77777777" w:rsidR="00BF60FC" w:rsidRPr="00C66DCF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66DC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40" w:type="dxa"/>
          </w:tcPr>
          <w:p w14:paraId="0114DFD1" w14:textId="77777777" w:rsidR="00BF60FC" w:rsidRPr="00EF1235" w:rsidRDefault="00BF60FC" w:rsidP="00BF60F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8DB1119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1FE758B3" w14:textId="77777777" w:rsidTr="00265F49">
        <w:trPr>
          <w:trHeight w:hRule="exact" w:val="454"/>
        </w:trPr>
        <w:tc>
          <w:tcPr>
            <w:tcW w:w="3346" w:type="dxa"/>
          </w:tcPr>
          <w:p w14:paraId="4EC33790" w14:textId="77777777" w:rsidR="00BF60FC" w:rsidRPr="00C66DCF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540" w:type="dxa"/>
          </w:tcPr>
          <w:p w14:paraId="32377148" w14:textId="77777777" w:rsidR="00BF60FC" w:rsidRPr="00EF1235" w:rsidRDefault="00BF60FC" w:rsidP="00BF60F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401B0C6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54074C5C" w14:textId="77777777" w:rsidTr="00265F49">
        <w:trPr>
          <w:trHeight w:hRule="exact" w:val="454"/>
        </w:trPr>
        <w:tc>
          <w:tcPr>
            <w:tcW w:w="3346" w:type="dxa"/>
          </w:tcPr>
          <w:p w14:paraId="09428A6C" w14:textId="77777777" w:rsidR="00BF60FC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40" w:type="dxa"/>
          </w:tcPr>
          <w:p w14:paraId="58C4F7F9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769E1C7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29AAC3C3" w14:textId="77777777" w:rsidTr="00265F49">
        <w:trPr>
          <w:trHeight w:hRule="exact" w:val="454"/>
        </w:trPr>
        <w:tc>
          <w:tcPr>
            <w:tcW w:w="3346" w:type="dxa"/>
          </w:tcPr>
          <w:p w14:paraId="370940AF" w14:textId="77777777" w:rsidR="00BF60FC" w:rsidRDefault="00BF60FC" w:rsidP="00BF60FC">
            <w:pPr>
              <w:ind w:hanging="6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ผู้ตรวจประเมิน</w:t>
            </w:r>
          </w:p>
        </w:tc>
        <w:tc>
          <w:tcPr>
            <w:tcW w:w="540" w:type="dxa"/>
          </w:tcPr>
          <w:p w14:paraId="79035C8D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10" w:type="dxa"/>
          </w:tcPr>
          <w:p w14:paraId="11028B68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F60FC" w:rsidRPr="00EB1352" w14:paraId="26E1E071" w14:textId="77777777" w:rsidTr="00265F49">
        <w:trPr>
          <w:trHeight w:hRule="exact" w:val="454"/>
        </w:trPr>
        <w:tc>
          <w:tcPr>
            <w:tcW w:w="3346" w:type="dxa"/>
          </w:tcPr>
          <w:p w14:paraId="1724E569" w14:textId="77777777" w:rsidR="00BF60FC" w:rsidRPr="00C66DCF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66DC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40" w:type="dxa"/>
          </w:tcPr>
          <w:p w14:paraId="7D81B140" w14:textId="77777777" w:rsidR="00BF60FC" w:rsidRPr="00EF1235" w:rsidRDefault="00BF60FC" w:rsidP="00BF60F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7379E8B8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25E2DA44" w14:textId="77777777" w:rsidTr="00265F49">
        <w:trPr>
          <w:trHeight w:hRule="exact" w:val="454"/>
        </w:trPr>
        <w:tc>
          <w:tcPr>
            <w:tcW w:w="3346" w:type="dxa"/>
          </w:tcPr>
          <w:p w14:paraId="426C23CB" w14:textId="77777777" w:rsidR="00BF60FC" w:rsidRPr="00C66DCF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540" w:type="dxa"/>
          </w:tcPr>
          <w:p w14:paraId="49A60D4B" w14:textId="77777777" w:rsidR="00BF60FC" w:rsidRPr="00EF1235" w:rsidRDefault="00BF60FC" w:rsidP="00BF60F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0258DB54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  <w:tr w:rsidR="00BF60FC" w:rsidRPr="00EB1352" w14:paraId="71B4F1C5" w14:textId="77777777" w:rsidTr="00265F49">
        <w:trPr>
          <w:trHeight w:hRule="exact" w:val="454"/>
        </w:trPr>
        <w:tc>
          <w:tcPr>
            <w:tcW w:w="3346" w:type="dxa"/>
          </w:tcPr>
          <w:p w14:paraId="0ADC37C1" w14:textId="77777777" w:rsidR="00BF60FC" w:rsidRDefault="00BF60FC" w:rsidP="00BF60FC">
            <w:pPr>
              <w:ind w:firstLine="354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40" w:type="dxa"/>
          </w:tcPr>
          <w:p w14:paraId="3D539173" w14:textId="77777777" w:rsidR="00BF60FC" w:rsidRPr="00EB1352" w:rsidRDefault="00BF60FC" w:rsidP="00BF60F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352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49FFB44E" w14:textId="77777777" w:rsidR="00BF60FC" w:rsidRPr="00EF1235" w:rsidRDefault="00BF60FC" w:rsidP="00BF60F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F1235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</w:p>
        </w:tc>
      </w:tr>
    </w:tbl>
    <w:p w14:paraId="45ABFFD0" w14:textId="77777777" w:rsidR="005B1CB5" w:rsidRDefault="005B1CB5">
      <w:pPr>
        <w:spacing w:line="240" w:lineRule="auto"/>
        <w:rPr>
          <w:rFonts w:ascii="TH SarabunPSK" w:eastAsia="Tahoma" w:hAnsi="TH SarabunPSK" w:cs="TH SarabunPSK"/>
          <w:sz w:val="32"/>
          <w:szCs w:val="32"/>
          <w:cs/>
        </w:rPr>
        <w:sectPr w:rsidR="005B1CB5" w:rsidSect="005B1CB5">
          <w:headerReference w:type="default" r:id="rId9"/>
          <w:footerReference w:type="default" r:id="rId10"/>
          <w:pgSz w:w="12240" w:h="15840"/>
          <w:pgMar w:top="720" w:right="720" w:bottom="851" w:left="720" w:header="720" w:footer="720" w:gutter="0"/>
          <w:pgNumType w:start="1"/>
          <w:cols w:space="720"/>
          <w:docGrid w:linePitch="299"/>
        </w:sectPr>
      </w:pPr>
    </w:p>
    <w:tbl>
      <w:tblPr>
        <w:tblW w:w="144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9"/>
        <w:gridCol w:w="2116"/>
        <w:gridCol w:w="2215"/>
        <w:gridCol w:w="1285"/>
        <w:gridCol w:w="1270"/>
        <w:gridCol w:w="1350"/>
        <w:gridCol w:w="1260"/>
        <w:gridCol w:w="1715"/>
      </w:tblGrid>
      <w:tr w:rsidR="00FD2538" w:rsidRPr="00200E23" w14:paraId="471ED826" w14:textId="77777777" w:rsidTr="00200E23">
        <w:trPr>
          <w:tblHeader/>
        </w:trPr>
        <w:tc>
          <w:tcPr>
            <w:tcW w:w="3279" w:type="dxa"/>
            <w:vMerge w:val="restart"/>
            <w:shd w:val="clear" w:color="auto" w:fill="BFBFBF"/>
            <w:vAlign w:val="center"/>
          </w:tcPr>
          <w:p w14:paraId="3F8B211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ข้อกำหนด</w:t>
            </w:r>
          </w:p>
        </w:tc>
        <w:tc>
          <w:tcPr>
            <w:tcW w:w="4331" w:type="dxa"/>
            <w:gridSpan w:val="2"/>
            <w:vMerge w:val="restart"/>
            <w:shd w:val="clear" w:color="auto" w:fill="BFBFBF"/>
            <w:vAlign w:val="center"/>
          </w:tcPr>
          <w:p w14:paraId="5780F0C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เอกสารที่ใช้ในการขอรับการรับรอง</w:t>
            </w:r>
          </w:p>
        </w:tc>
        <w:tc>
          <w:tcPr>
            <w:tcW w:w="6880" w:type="dxa"/>
            <w:gridSpan w:val="5"/>
            <w:shd w:val="clear" w:color="auto" w:fill="BFBFBF"/>
          </w:tcPr>
          <w:p w14:paraId="08A1ED7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การให้คะแนน</w:t>
            </w:r>
          </w:p>
        </w:tc>
      </w:tr>
      <w:tr w:rsidR="00FD2538" w:rsidRPr="00200E23" w14:paraId="15D0E184" w14:textId="77777777" w:rsidTr="00200E23">
        <w:trPr>
          <w:trHeight w:val="180"/>
          <w:tblHeader/>
        </w:trPr>
        <w:tc>
          <w:tcPr>
            <w:tcW w:w="3279" w:type="dxa"/>
            <w:vMerge/>
            <w:shd w:val="clear" w:color="auto" w:fill="BFBFBF"/>
          </w:tcPr>
          <w:p w14:paraId="05570A5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31" w:type="dxa"/>
            <w:gridSpan w:val="2"/>
            <w:vMerge/>
            <w:shd w:val="clear" w:color="auto" w:fill="BFBFBF"/>
          </w:tcPr>
          <w:p w14:paraId="7733771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6D0AB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>B2C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E40180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>B2B</w:t>
            </w:r>
          </w:p>
        </w:tc>
        <w:tc>
          <w:tcPr>
            <w:tcW w:w="1715" w:type="dxa"/>
            <w:vMerge w:val="restart"/>
            <w:shd w:val="clear" w:color="auto" w:fill="BFBFBF"/>
            <w:vAlign w:val="center"/>
          </w:tcPr>
          <w:p w14:paraId="0BE64AF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บรรจุภัณฑ์</w:t>
            </w:r>
          </w:p>
          <w:p w14:paraId="1CD7973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>B2B</w:t>
            </w:r>
          </w:p>
        </w:tc>
      </w:tr>
      <w:tr w:rsidR="00FD2538" w:rsidRPr="00200E23" w14:paraId="03DB8D0B" w14:textId="77777777" w:rsidTr="00200E23">
        <w:trPr>
          <w:trHeight w:val="180"/>
          <w:tblHeader/>
        </w:trPr>
        <w:tc>
          <w:tcPr>
            <w:tcW w:w="3279" w:type="dxa"/>
            <w:vMerge/>
            <w:shd w:val="clear" w:color="auto" w:fill="BFBFBF"/>
          </w:tcPr>
          <w:p w14:paraId="096831D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31" w:type="dxa"/>
            <w:gridSpan w:val="2"/>
            <w:vMerge/>
            <w:shd w:val="clear" w:color="auto" w:fill="BFBFBF"/>
          </w:tcPr>
          <w:p w14:paraId="7D4CB10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14:paraId="022FAAD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ผลิตภัณฑ์ที่มีอายุการใช้งาน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u w:val="single"/>
              </w:rPr>
              <w:t>&gt;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 1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9BAB3F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ผลิตภัณฑ์ที่มีอายุการใช้งาน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&lt; 1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A9779E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ผลิตภัณฑ์ที่มีอายุการใช้งาน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u w:val="single"/>
              </w:rPr>
              <w:t>&gt;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 1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02C7C0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ผลิตภัณฑ์ที่มีอายุการใช้งาน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&lt; 1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715" w:type="dxa"/>
            <w:vMerge/>
            <w:shd w:val="clear" w:color="auto" w:fill="BFBFBF"/>
          </w:tcPr>
          <w:p w14:paraId="759F85C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  <w:tr w:rsidR="00FD2538" w:rsidRPr="00200E23" w14:paraId="62567A02" w14:textId="77777777" w:rsidTr="00200E23">
        <w:tc>
          <w:tcPr>
            <w:tcW w:w="14490" w:type="dxa"/>
            <w:gridSpan w:val="8"/>
            <w:shd w:val="clear" w:color="auto" w:fill="auto"/>
          </w:tcPr>
          <w:p w14:paraId="18BE9493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ข้อกำหนดทั่วไป (บังคับ)</w:t>
            </w:r>
          </w:p>
        </w:tc>
      </w:tr>
      <w:tr w:rsidR="00FD2538" w:rsidRPr="00200E23" w14:paraId="3C231B82" w14:textId="77777777" w:rsidTr="00200E23">
        <w:tc>
          <w:tcPr>
            <w:tcW w:w="3279" w:type="dxa"/>
            <w:shd w:val="clear" w:color="auto" w:fill="auto"/>
          </w:tcPr>
          <w:p w14:paraId="2A9377D1" w14:textId="77777777" w:rsidR="00FD2538" w:rsidRPr="00200E23" w:rsidRDefault="00FD2538" w:rsidP="00FD25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ต้องเป็นผลิตภัณฑ์ที่มีความเหมาะสมในการใช้งาน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fitness for use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)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หากมีข้อร้องเรียนจากผู้ซื้อสินค้าเกี่ยวกับปัญหาคุณภาพ ให้เป็นความรับผิดชอบของผู้ผลิตในการดำเนินงานตามระบบรับข้อร้องเรียนของบริษัท</w:t>
            </w:r>
          </w:p>
          <w:p w14:paraId="766865A3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กรณีที่ผลิตภัณฑ์มีมาตรฐานอุตสาหกรรมบังคับ (มอก. บังคับ) ผู้ยื่นคำขอต้องยื่นใบอนุญาตทำหรือนำเข้าผลิตภัณฑ์อุตสาหกรรมที่ออกให้โดยสำนักงานมาตรฐานผลิตภัณฑ์อุตสาหกรรม </w:t>
            </w:r>
          </w:p>
          <w:p w14:paraId="1E1020D1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6BC7BC7A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68968A41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7242DC37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0A072CCF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504EBA5E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775098B0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69FE9165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772A3AD9" w14:textId="0A864B77" w:rsidR="00FD2538" w:rsidRPr="00200E23" w:rsidRDefault="00FD2538" w:rsidP="00200E23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14:paraId="2A208BF2" w14:textId="77777777" w:rsidR="00FD2538" w:rsidRPr="00200E23" w:rsidRDefault="00FD2538" w:rsidP="002A3265">
            <w:pPr>
              <w:tabs>
                <w:tab w:val="left" w:pos="275"/>
              </w:tabs>
              <w:spacing w:after="0"/>
              <w:ind w:left="275" w:hanging="275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931395322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ใบอนุญาตทำหรือนำเข้าผลิตภัณฑ์อุตสาหกรรม (เฉพาะผลิตภัณฑ์ที่มี มอก. บังคับ)</w:t>
            </w:r>
          </w:p>
          <w:p w14:paraId="3DA59928" w14:textId="77777777" w:rsidR="00FD2538" w:rsidRPr="00200E23" w:rsidRDefault="00FD2538" w:rsidP="002A3265">
            <w:pPr>
              <w:spacing w:after="0"/>
              <w:ind w:left="275" w:hanging="275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321938843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คู่มือปฏิบัติในการรับข้อร้องเรียนและการจัดการข้อร้องเรียนด้านคุณภาพของผลิตภัณฑ์ </w:t>
            </w:r>
          </w:p>
        </w:tc>
        <w:tc>
          <w:tcPr>
            <w:tcW w:w="6880" w:type="dxa"/>
            <w:gridSpan w:val="5"/>
            <w:shd w:val="clear" w:color="auto" w:fill="auto"/>
          </w:tcPr>
          <w:p w14:paraId="14F16FFF" w14:textId="77777777" w:rsidR="00FD2538" w:rsidRPr="00200E23" w:rsidRDefault="00FD2538" w:rsidP="002A3265">
            <w:pPr>
              <w:spacing w:after="0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-249656655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0D6242A9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-230237370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0DA409A4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</w:p>
          <w:p w14:paraId="69128D8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</w:p>
          <w:p w14:paraId="07CD442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</w:p>
          <w:p w14:paraId="68BD1FA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</w:pPr>
          </w:p>
          <w:p w14:paraId="3A752BE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  <w:tr w:rsidR="00FD2538" w:rsidRPr="00200E23" w14:paraId="095318B5" w14:textId="77777777" w:rsidTr="00200E23">
        <w:tc>
          <w:tcPr>
            <w:tcW w:w="14490" w:type="dxa"/>
            <w:gridSpan w:val="8"/>
            <w:shd w:val="clear" w:color="auto" w:fill="auto"/>
          </w:tcPr>
          <w:p w14:paraId="29E32019" w14:textId="77777777" w:rsidR="00FD2538" w:rsidRPr="00200E23" w:rsidRDefault="00FD2538" w:rsidP="002A3265">
            <w:pPr>
              <w:spacing w:after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ข้อกำหนดเฉพาะ</w:t>
            </w:r>
          </w:p>
        </w:tc>
      </w:tr>
      <w:tr w:rsidR="00FD2538" w:rsidRPr="00200E23" w14:paraId="72B280F8" w14:textId="77777777" w:rsidTr="00200E23">
        <w:trPr>
          <w:trHeight w:val="2450"/>
        </w:trPr>
        <w:tc>
          <w:tcPr>
            <w:tcW w:w="3279" w:type="dxa"/>
            <w:vMerge w:val="restart"/>
          </w:tcPr>
          <w:p w14:paraId="53E77F04" w14:textId="77777777" w:rsidR="00FD2538" w:rsidRPr="00200E23" w:rsidRDefault="00FD2538" w:rsidP="002A3265">
            <w:pPr>
              <w:spacing w:after="0"/>
              <w:ind w:left="250" w:hanging="250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แนวคิดในการออกแบบผลิตภัณฑ์</w:t>
            </w: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 xml:space="preserve"> </w:t>
            </w:r>
          </w:p>
          <w:p w14:paraId="73009D2F" w14:textId="77777777" w:rsidR="00FD2538" w:rsidRPr="00200E23" w:rsidRDefault="00FD2538" w:rsidP="002A3265">
            <w:pPr>
              <w:spacing w:after="0"/>
              <w:ind w:left="1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หลักการและแนวคิดในการออกแบบผลิตภัณฑ์ในกระบวนการออกแบบอย่างเป็นระบบและเป็นขั้นตอนที่คำนึงถึงการหมุนเวียนวัสดุกลับคืนสู่ระบบเศรษฐกิจ อย่างหนึ่งอย่างใด ต่อไปนี้</w:t>
            </w:r>
          </w:p>
          <w:p w14:paraId="799B0104" w14:textId="77777777" w:rsidR="00FD2538" w:rsidRPr="00200E23" w:rsidRDefault="00FD2538" w:rsidP="002A3265">
            <w:pPr>
              <w:spacing w:after="0"/>
              <w:ind w:left="515" w:hanging="51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2.1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ออกแบบผลิตภัณฑ์เพื่อลดปริมาณการใช้วัสดุ </w:t>
            </w:r>
          </w:p>
          <w:p w14:paraId="4A82FADA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2.2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ออกแบบผลิตภัณฑ์เพื่อให้มีอายุการใช้งานนานมากขึ้น </w:t>
            </w:r>
          </w:p>
          <w:p w14:paraId="1DDE558A" w14:textId="77777777" w:rsidR="00FD2538" w:rsidRPr="00200E23" w:rsidRDefault="00FD2538" w:rsidP="002A3265">
            <w:pPr>
              <w:spacing w:after="0"/>
              <w:ind w:left="605" w:hanging="60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2.3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ออกแบบผลิตภัณฑ์เพื่อการหมุนเวียนวัสดุ</w:t>
            </w:r>
          </w:p>
          <w:p w14:paraId="75844886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2.4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ออกแบบผลิตภัณฑ์โดยคำนึงถึงความยั่งยืนด้านสิ่งแวดล้อม </w:t>
            </w:r>
          </w:p>
          <w:p w14:paraId="6EDF4220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ข้อกำหนดนี้ ไม่ประยุกต์ใช้กับผลิตภัณฑ์บรรจุภัณฑ์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05F8B2CD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>เอกสารอย่างใดอย่างหนึ่ง ดังนี้</w:t>
            </w:r>
          </w:p>
          <w:p w14:paraId="30F0089D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/>
              <w:ind w:left="365" w:hanging="360"/>
              <w:jc w:val="both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-1667171018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 xml:space="preserve"> เอกสารนำเสนอหลักการและแนวคิดในการออกแบบผลิตภัณฑ์ในกระบวนการออกแบบอย่างเป็นระบบและเป็นขั้นตอนที่คำนึงถึงการหมุนเวียนวัสดุกลับคืนสู่ระบบเศรษฐกิจ</w:t>
            </w:r>
          </w:p>
          <w:p w14:paraId="038733F9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0"/>
              <w:jc w:val="both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1640998804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 xml:space="preserve">รางวัลการออกแบบผลิตภัณฑ์ที่คำนึงถึงการ </w:t>
            </w:r>
          </w:p>
          <w:p w14:paraId="74E18F2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/>
              <w:jc w:val="both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>หมุนเวียนวัสดุกลับคืนสู่ระบบเศรษฐกิจ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D4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F8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55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8D54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2E9A5B6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7636C8BD" w14:textId="77777777" w:rsidTr="00200E23">
        <w:trPr>
          <w:trHeight w:val="1980"/>
        </w:trPr>
        <w:tc>
          <w:tcPr>
            <w:tcW w:w="3279" w:type="dxa"/>
            <w:vMerge/>
          </w:tcPr>
          <w:p w14:paraId="450AAD85" w14:textId="77777777" w:rsidR="00FD2538" w:rsidRPr="00200E23" w:rsidRDefault="00FD2538" w:rsidP="002A3265">
            <w:p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vAlign w:val="center"/>
          </w:tcPr>
          <w:p w14:paraId="45AF91DF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</w:t>
            </w:r>
          </w:p>
          <w:p w14:paraId="7B7BE795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firstLine="3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03B9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AB81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38F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6A00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357575D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534777FB" w14:textId="77777777" w:rsidTr="00200E23">
        <w:trPr>
          <w:trHeight w:val="836"/>
        </w:trPr>
        <w:tc>
          <w:tcPr>
            <w:tcW w:w="3279" w:type="dxa"/>
            <w:tcBorders>
              <w:bottom w:val="single" w:sz="4" w:space="0" w:color="auto"/>
            </w:tcBorders>
          </w:tcPr>
          <w:p w14:paraId="2EC002BB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3.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การใช้วัสดุหมุนเวียน</w:t>
            </w:r>
          </w:p>
          <w:p w14:paraId="17359461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มีการใช้วัสดุหมุนเวียนเป็นองค์ประกอบของผลิตภัณฑ์ อย่างหนึ่งอย่างใด ต่อไปนี้</w:t>
            </w:r>
          </w:p>
          <w:p w14:paraId="7D8A1BE9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3.1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เป็นวัสดุที่สามารถรี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ได้ และมีการเข้าร่วมห่วงโซ่การรี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65DAF3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43175DF1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727BD0A6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130051F0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 ดังนี้</w:t>
            </w:r>
          </w:p>
          <w:p w14:paraId="0E5431B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567035131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เอกสารแสดงรายการวัตถุดิบ</w:t>
            </w:r>
          </w:p>
          <w:p w14:paraId="4F04F96C" w14:textId="77777777" w:rsidR="00FD2538" w:rsidRPr="00200E23" w:rsidRDefault="00FD2538" w:rsidP="002A3265">
            <w:pP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20432147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เอกสารแสดงข้อมูลการใช้วัสดุที่สามารถนำไปรี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ได้ และเอกสารแสดงหลักฐานการรี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</w:p>
          <w:p w14:paraId="0CE1954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529887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14:paraId="6565CAE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5A8D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78CAAD9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715" w:type="dxa"/>
            <w:vMerge w:val="restart"/>
            <w:vAlign w:val="center"/>
          </w:tcPr>
          <w:p w14:paraId="1272A59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20</w:t>
            </w:r>
          </w:p>
        </w:tc>
      </w:tr>
      <w:tr w:rsidR="00FD2538" w:rsidRPr="00200E23" w14:paraId="0C98F4EF" w14:textId="77777777" w:rsidTr="00200E23">
        <w:trPr>
          <w:trHeight w:val="1268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77D2C820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3.2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เป็นวัสดุชีวภาพ หรือ เป็นวัสดุรี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อย่างใดอย่างหนึ่ง หรือรวมกันอย่างน้อย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20%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ของวัสดุที่ใช้ทั้งหมด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45BB3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 ดังนี้</w:t>
            </w:r>
          </w:p>
          <w:p w14:paraId="7B4EC767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304822973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เอกสารแสดงรายการวัตถุดิบ</w:t>
            </w:r>
          </w:p>
          <w:p w14:paraId="1844B17B" w14:textId="77777777" w:rsidR="00FD2538" w:rsidRPr="00200E23" w:rsidRDefault="00FD2538" w:rsidP="002A3265">
            <w:pP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58543941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เอกสารคำสั่งซื้อวัสดุชีวภาพ หรือ</w:t>
            </w:r>
          </w:p>
          <w:p w14:paraId="1E59874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381710550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เอกสารคำสั่งซื้อวัสดุรี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</w:p>
        </w:tc>
        <w:tc>
          <w:tcPr>
            <w:tcW w:w="1285" w:type="dxa"/>
            <w:vMerge/>
            <w:vAlign w:val="center"/>
          </w:tcPr>
          <w:p w14:paraId="6BA7DFE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14:paraId="224649D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50C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0B0352D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  <w:vMerge/>
            <w:vAlign w:val="center"/>
          </w:tcPr>
          <w:p w14:paraId="198E8BE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  <w:tr w:rsidR="00FD2538" w:rsidRPr="00200E23" w14:paraId="13CAB682" w14:textId="77777777" w:rsidTr="00200E23">
        <w:trPr>
          <w:trHeight w:val="2675"/>
        </w:trPr>
        <w:tc>
          <w:tcPr>
            <w:tcW w:w="3279" w:type="dxa"/>
            <w:vMerge w:val="restart"/>
            <w:tcBorders>
              <w:top w:val="single" w:sz="4" w:space="0" w:color="auto"/>
            </w:tcBorders>
          </w:tcPr>
          <w:p w14:paraId="62F91F28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3.3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เป็นวัสดุที่มาจากแหล่งกำเนิดทรัพยากร ธรรมชาติที่ใช้ไม่หมดหรือสามารถเกิดทดแทนใหม่ได้ หรือ เป็นวัสดุที่สามารถย่อยสลายทางชีวภาพได้ หรือ เป็นวัสดุที่สามารถสลายตัวทางชีวภาพได้ </w:t>
            </w:r>
          </w:p>
          <w:p w14:paraId="0A2D336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ข้อกำหนดเกี่ยวกับการเป็นวัสดุที่สามารถย่อยสลายทางชีวภาพได้ หรือ เป็นวัสดุที่สามารถสลายตัวทางชีวภาพได้ ประยุกต์ใช้กับพลาสติกสลายตัวได้ และพลาสติกย่อยสลายได้ทางชีวภาพเท่านั้น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A93A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 ดังนี้</w:t>
            </w:r>
          </w:p>
          <w:p w14:paraId="2D9FF45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2112357437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เอกสารแสดงรายการวัตถุดิบ</w:t>
            </w:r>
          </w:p>
          <w:p w14:paraId="6C6E8D8B" w14:textId="77777777" w:rsidR="00FD2538" w:rsidRPr="00200E23" w:rsidRDefault="00FD2538" w:rsidP="002A3265">
            <w:pPr>
              <w:spacing w:after="0"/>
              <w:ind w:left="275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848259059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คำสั่งซื้อวัสดุที่มาจากแหล่งกำเนิดทรัพยากรธรรมชาติที่ใช้ไม่หมดหรือสามารถเกิดทดแทนใหม่ได้ หรือ เป็นวัสดุที่สามารถย่อยสลายทางชีวภาพได้ หรือ เป็นวัสดุที่สามารถสลายตัวได้</w:t>
            </w:r>
          </w:p>
          <w:p w14:paraId="683904B4" w14:textId="77777777" w:rsidR="00FD2538" w:rsidRPr="00200E23" w:rsidRDefault="00FD2538" w:rsidP="002A3265">
            <w:pPr>
              <w:spacing w:after="0"/>
              <w:ind w:left="275" w:hanging="27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633598542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ผลทดสอบว่าเป็นวัสดุที่สามารถย่อยสลายทางชีวภาพได้ หรือ เป็นวัสดุที่สามารถสลายตัวได้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6E766D4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BB26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9C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89E7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14:paraId="7625661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  <w:tr w:rsidR="00FD2538" w:rsidRPr="00200E23" w14:paraId="0FEB41B9" w14:textId="77777777" w:rsidTr="00200E23">
        <w:trPr>
          <w:trHeight w:val="854"/>
        </w:trPr>
        <w:tc>
          <w:tcPr>
            <w:tcW w:w="3279" w:type="dxa"/>
            <w:vMerge/>
            <w:tcBorders>
              <w:top w:val="single" w:sz="4" w:space="0" w:color="auto"/>
            </w:tcBorders>
          </w:tcPr>
          <w:p w14:paraId="62C86294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AC14D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4C567246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AD653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D0166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B7853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3CE3F2ED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2E843912" w14:textId="77777777" w:rsidTr="00200E23">
        <w:trPr>
          <w:trHeight w:val="2235"/>
        </w:trPr>
        <w:tc>
          <w:tcPr>
            <w:tcW w:w="3279" w:type="dxa"/>
            <w:vMerge w:val="restart"/>
          </w:tcPr>
          <w:p w14:paraId="4F44FE98" w14:textId="77777777" w:rsidR="00FD2538" w:rsidRPr="00200E23" w:rsidRDefault="00FD2538" w:rsidP="002A3265">
            <w:pPr>
              <w:spacing w:after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 xml:space="preserve">4.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แนวคิดในการออกแบบบรรจุภัณฑ์</w:t>
            </w:r>
          </w:p>
          <w:p w14:paraId="24E7E363" w14:textId="77777777" w:rsidR="00FD2538" w:rsidRPr="00200E23" w:rsidRDefault="00FD2538" w:rsidP="002A3265">
            <w:pPr>
              <w:spacing w:after="0"/>
              <w:ind w:left="25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นวคิดในการออกแบบบรรจุภัณฑ์ในกระบวนการออกแบบอย่างเป็นระบบและเป็นขั้นตอนที่คำนึงถึงการหมุนเวียนวัสดุกลับคืนสู่ระบบเศรษฐกิจ อย่างหนึ่งอย่างใด ต่อไปนี้</w:t>
            </w:r>
          </w:p>
          <w:p w14:paraId="6F0B2275" w14:textId="77777777" w:rsidR="00FD2538" w:rsidRPr="00200E23" w:rsidRDefault="00FD2538" w:rsidP="002A3265">
            <w:pPr>
              <w:spacing w:after="0"/>
              <w:ind w:left="25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1935C603" w14:textId="77777777" w:rsidR="00FD2538" w:rsidRPr="00200E23" w:rsidRDefault="00FD2538" w:rsidP="002A3265">
            <w:pPr>
              <w:spacing w:after="0"/>
              <w:ind w:hanging="2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4.1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ออกแบบเพื่อลดปริมาณการใช้วัสดุ </w:t>
            </w:r>
          </w:p>
          <w:p w14:paraId="3EFA1CF5" w14:textId="77777777" w:rsidR="00FD2538" w:rsidRPr="00200E23" w:rsidRDefault="00FD2538" w:rsidP="002A3265">
            <w:pPr>
              <w:spacing w:after="0"/>
              <w:ind w:left="520" w:hanging="52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ออกแบบเพื่อให้มีอายุการใช้งานนานมากขึ้น </w:t>
            </w:r>
          </w:p>
          <w:p w14:paraId="1C35C1DE" w14:textId="77777777" w:rsidR="00FD2538" w:rsidRPr="00200E23" w:rsidRDefault="00FD2538" w:rsidP="002A3265">
            <w:pPr>
              <w:spacing w:after="0"/>
              <w:ind w:left="520" w:hanging="52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ออกแบบเพื่อการหมุนเวียนวัสดุ </w:t>
            </w:r>
          </w:p>
          <w:p w14:paraId="555B137A" w14:textId="77777777" w:rsidR="00FD2538" w:rsidRPr="00200E23" w:rsidRDefault="00FD2538" w:rsidP="002A3265">
            <w:pPr>
              <w:spacing w:after="0"/>
              <w:ind w:left="340" w:hanging="3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4.4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ออกแบบโดยคำนึงถึงความยั่งยืนด้านสิ่งแวดล้อม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7012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>เอกสารอย่างใดอย่างหนึ่ง ดังนี้</w:t>
            </w:r>
          </w:p>
          <w:p w14:paraId="01C3A969" w14:textId="77777777" w:rsidR="00FD2538" w:rsidRPr="00200E23" w:rsidRDefault="00FD2538" w:rsidP="002A3265">
            <w:pPr>
              <w:spacing w:after="0"/>
              <w:ind w:left="370" w:hanging="360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447292368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 xml:space="preserve">  เอกสารนำเสนอแนวคิดในการออกแบบบรรจุภัณฑ์ที่คำนึงถึงการหมุนเวียนวัสดุกลับคืนสู่ระบบเศรษฐกิจ</w:t>
            </w:r>
          </w:p>
          <w:p w14:paraId="4A46C0C4" w14:textId="77777777" w:rsidR="00FD2538" w:rsidRPr="00200E23" w:rsidRDefault="00FD2538" w:rsidP="002A3265">
            <w:pPr>
              <w:spacing w:after="0"/>
              <w:ind w:left="374" w:hanging="360"/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2030363561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color w:val="000000"/>
                <w:sz w:val="28"/>
                <w:szCs w:val="28"/>
                <w:cs/>
              </w:rPr>
              <w:t xml:space="preserve">   รางวัลการออกแบบบรรจุภัณฑ์ที่คำนึงถึงการหมุนเวียนวัสดุกลับคืนสู่ระบบเศรษฐกิจ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75DEBB6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85AB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D4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5E92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0ACE7C5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15</w:t>
            </w:r>
          </w:p>
        </w:tc>
      </w:tr>
      <w:tr w:rsidR="00FD2538" w:rsidRPr="00200E23" w14:paraId="2B6BA9B6" w14:textId="77777777" w:rsidTr="00200E23">
        <w:trPr>
          <w:trHeight w:val="1522"/>
        </w:trPr>
        <w:tc>
          <w:tcPr>
            <w:tcW w:w="3279" w:type="dxa"/>
            <w:vMerge/>
            <w:tcBorders>
              <w:bottom w:val="single" w:sz="4" w:space="0" w:color="auto"/>
            </w:tcBorders>
          </w:tcPr>
          <w:p w14:paraId="218E34DE" w14:textId="77777777" w:rsidR="00FD2538" w:rsidRPr="00200E23" w:rsidRDefault="00FD2538" w:rsidP="002A3265">
            <w:pPr>
              <w:spacing w:after="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ED81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  <w:p w14:paraId="713A6B4A" w14:textId="77777777" w:rsidR="00FD2538" w:rsidRPr="00200E23" w:rsidRDefault="00FD2538" w:rsidP="002A3265">
            <w:pPr>
              <w:spacing w:after="0"/>
              <w:ind w:firstLine="1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2F8A1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3757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24D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84AD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AFB6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3D43CDD4" w14:textId="77777777" w:rsidTr="00200E23">
        <w:trPr>
          <w:trHeight w:val="2114"/>
        </w:trPr>
        <w:tc>
          <w:tcPr>
            <w:tcW w:w="3279" w:type="dxa"/>
            <w:vMerge w:val="restart"/>
          </w:tcPr>
          <w:p w14:paraId="5C5A784B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5.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วัตถุดิบ</w:t>
            </w:r>
          </w:p>
          <w:p w14:paraId="15C5B289" w14:textId="77777777" w:rsidR="00FD2538" w:rsidRPr="00200E23" w:rsidRDefault="00FD2538" w:rsidP="002A3265">
            <w:pPr>
              <w:spacing w:after="0"/>
              <w:ind w:firstLine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มีการปรับปรุงประสิทธิภาพการใช้วัตถุดิบ</w:t>
            </w:r>
          </w:p>
          <w:p w14:paraId="5C5EEAB7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05F4A1E" w14:textId="77777777" w:rsidR="00FD2538" w:rsidRPr="00200E23" w:rsidRDefault="00FD2538" w:rsidP="00FD2538">
            <w:pPr>
              <w:pStyle w:val="ListParagraph"/>
              <w:numPr>
                <w:ilvl w:val="0"/>
                <w:numId w:val="17"/>
              </w:numPr>
              <w:spacing w:after="0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พิจารณาเฉพาะกระบวนการผลิตผลิตภัณฑ์ที่ขอการรับรอง</w:t>
            </w:r>
          </w:p>
          <w:p w14:paraId="22AB405C" w14:textId="77777777" w:rsidR="00FD2538" w:rsidRPr="00200E23" w:rsidRDefault="00FD2538" w:rsidP="00FD2538">
            <w:pPr>
              <w:pStyle w:val="ListParagraph"/>
              <w:numPr>
                <w:ilvl w:val="0"/>
                <w:numId w:val="17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บันทึกปริมาณการใช้วัตถุดิบก่อนดำเนินโครงการปรับปรุงประสิทธิภาพการใช้วัตถุดิบ ให้ใช้ข้อมูลย้อนหลังไม่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เกิน 3 ปี เป็นปีฐาน (ที่มีข้อมูลครบ 12 เดือน)</w:t>
            </w:r>
          </w:p>
          <w:p w14:paraId="1ED0CCA3" w14:textId="77777777" w:rsidR="00FD2538" w:rsidRPr="00200E23" w:rsidRDefault="00FD2538" w:rsidP="00FD2538">
            <w:pPr>
              <w:pStyle w:val="ListParagraph"/>
              <w:numPr>
                <w:ilvl w:val="0"/>
                <w:numId w:val="17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บันทึกปริมาณการใช้วัตถุดิบหลังดำเนินโครงการปรับปรุงประสิทธิภาพการใช้วัตถุดิบ </w:t>
            </w:r>
          </w:p>
          <w:p w14:paraId="4B473A11" w14:textId="77777777" w:rsidR="00FD2538" w:rsidRPr="00200E23" w:rsidRDefault="00FD2538" w:rsidP="002A3265">
            <w:pPr>
              <w:pStyle w:val="ListParagraph"/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ให้ใช้ข้อมูลปีปัจจุบัน (ที่มีข้อมูลครบ 12 เดือน)</w:t>
            </w:r>
          </w:p>
          <w:p w14:paraId="068B8881" w14:textId="77777777" w:rsidR="00FD2538" w:rsidRPr="00200E23" w:rsidRDefault="00FD2538" w:rsidP="00FD2538">
            <w:pPr>
              <w:pStyle w:val="ListParagraph"/>
              <w:numPr>
                <w:ilvl w:val="0"/>
                <w:numId w:val="17"/>
              </w:numPr>
              <w:spacing w:after="0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กรณีบริษัทจัดตั้งใหม่ไม่จำเป็นต้องใช้ข้อมูลครบ 12 เดือน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320066A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เอกสาร ดังนี้</w:t>
            </w:r>
          </w:p>
          <w:p w14:paraId="546FBBF6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0" w:hanging="433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756488257"/>
              </w:sdtPr>
              <w:sdtContent>
                <w:r w:rsidRPr="00200E23">
                  <w:rPr>
                    <w:rFonts w:ascii="TH SarabunPSK" w:hAnsi="TH SarabunPSK" w:cs="TH SarabunPSK" w:hint="cs"/>
                    <w:sz w:val="28"/>
                    <w:szCs w:val="28"/>
                    <w:cs/>
                  </w:rPr>
                  <w:t xml:space="preserve"> </w:t>
                </w:r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เอกสารแสดงรายการวัตุดิบ </w:t>
            </w:r>
          </w:p>
          <w:p w14:paraId="5D8AA049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0" w:hanging="29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745333537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เอกสารโครงการปรับปรุงประสิทธิภาพการใช้วัตถุดิบ</w:t>
            </w:r>
          </w:p>
          <w:p w14:paraId="2A33FB25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0" w:hanging="286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222728405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บันทึกปริมาณการใช้วัตถุดิบก่อน และหลังดำเนินโครงการปรับปรุงประสิทธิภาพการใช้วัตถุดิบ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6802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29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CD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A76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A073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6</w:t>
            </w:r>
          </w:p>
        </w:tc>
      </w:tr>
      <w:tr w:rsidR="00FD2538" w:rsidRPr="00200E23" w14:paraId="02F9CC67" w14:textId="77777777" w:rsidTr="00200E23">
        <w:trPr>
          <w:trHeight w:val="683"/>
        </w:trPr>
        <w:tc>
          <w:tcPr>
            <w:tcW w:w="3279" w:type="dxa"/>
            <w:vMerge/>
            <w:tcBorders>
              <w:bottom w:val="single" w:sz="4" w:space="0" w:color="auto"/>
            </w:tcBorders>
          </w:tcPr>
          <w:p w14:paraId="6D3C19B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DB0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ไม่มีเอกสาร/หลักฐาน หรือไม่สอดคล้องตาม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</w:p>
          <w:p w14:paraId="4FE54E2A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firstLine="3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47FD2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8579C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B79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1E7D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8E8D9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3FE301F1" w14:textId="77777777" w:rsidTr="00200E23">
        <w:trPr>
          <w:trHeight w:val="413"/>
        </w:trPr>
        <w:tc>
          <w:tcPr>
            <w:tcW w:w="3279" w:type="dxa"/>
            <w:vMerge w:val="restart"/>
          </w:tcPr>
          <w:p w14:paraId="44233527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6.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พลังงานและก๊าซเรือนกระจก</w:t>
            </w:r>
          </w:p>
          <w:p w14:paraId="15BAF9AE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มีการปรับปรุงประสิทธิภาพการใช้พลังงาน หรือ มีการใช้พลังงานหมุนเวียน หรือ มีการแลกเปลี่ยนพลังงานเหลือใช้ระหว่างโรงงาน ที่ช่วยลดปริมาณการปล่อยก๊าซเรือนกระจก</w:t>
            </w:r>
          </w:p>
          <w:p w14:paraId="410950E4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D711C03" w14:textId="77777777" w:rsidR="00FD2538" w:rsidRPr="00200E23" w:rsidRDefault="00FD2538" w:rsidP="00FD2538">
            <w:pPr>
              <w:pStyle w:val="ListParagraph"/>
              <w:numPr>
                <w:ilvl w:val="0"/>
                <w:numId w:val="18"/>
              </w:numPr>
              <w:spacing w:after="0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พิจารณาเฉพาะกระบวนการผลิตผลิตภัณฑ์ที่ขอการรับรอง</w:t>
            </w:r>
          </w:p>
          <w:p w14:paraId="174C691F" w14:textId="77777777" w:rsidR="00FD2538" w:rsidRPr="00200E23" w:rsidRDefault="00FD2538" w:rsidP="00FD2538">
            <w:pPr>
              <w:pStyle w:val="ListParagraph"/>
              <w:numPr>
                <w:ilvl w:val="0"/>
                <w:numId w:val="18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บันทึกปริมาณการใช้พลังงานก่อนดำเนินโครงการปรับปรุงประสิทธิภาพ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การใช้พลังงานให้ใช้ข้อมูลย้อนหลังไม่เกิน 3 ปี เป็นปีฐาน (ที่มีข้อมูลครบ 12 เดือน)</w:t>
            </w:r>
          </w:p>
          <w:p w14:paraId="69698F6B" w14:textId="77777777" w:rsidR="00FD2538" w:rsidRPr="00200E23" w:rsidRDefault="00FD2538" w:rsidP="00FD2538">
            <w:pPr>
              <w:pStyle w:val="ListParagraph"/>
              <w:numPr>
                <w:ilvl w:val="0"/>
                <w:numId w:val="18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บันทึกปริมาณการใช้พลังงานหลังดำเนินโครงการปรับปรุงประสิทธิภาพการใช้พลังงานให้ใช้ข้อมูลปีปัจจุบัน (ที่มีข้อมูลครบ 12 เดือน)</w:t>
            </w:r>
          </w:p>
          <w:p w14:paraId="11AFEED0" w14:textId="77777777" w:rsidR="00FD2538" w:rsidRPr="00200E23" w:rsidRDefault="00FD2538" w:rsidP="00FD2538">
            <w:pPr>
              <w:pStyle w:val="ListParagraph"/>
              <w:numPr>
                <w:ilvl w:val="0"/>
                <w:numId w:val="18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กรณีบริษัทจัดตั้งใหม่ไม่จำเป็นต้องใช้ข้อมูลครบ 12 เดือน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25696D78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เอกสารอย่างใดอย่างหนึ่ง ดังนี้</w:t>
            </w:r>
          </w:p>
          <w:p w14:paraId="58994825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163852027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เอกสารแสดงข้อมูลบัญชีรายการพลังงาน เอกสารโครงการปรับปรุงประสิทธิภาพการใช้พลังงาน และบันทึกปริมาณการใช้พลังงานก่อนและหลังดำเนินโครงการปรับปรุงประสิทธิภาพการใช้พลังงาน</w:t>
            </w:r>
          </w:p>
          <w:p w14:paraId="0B718C16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474205692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เอกสารโครงการพลังงานหมุนเวียน และบันทึกปริมาณการใช้พลังงานก่อนและหลังดำเนินโครงการพลังงานหมุนเวียน</w:t>
            </w:r>
          </w:p>
          <w:p w14:paraId="1E17D6E6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="274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760833452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เอกสารการส่งมอบพลังงานเหลือใช้ระหว่างโรงงาน</w:t>
            </w:r>
          </w:p>
          <w:p w14:paraId="139C0428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="274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688717523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ใบรับรองพลังงานหมุนเวียน เช่น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Renewable Energy Certificate (REC)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83AC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89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22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51C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F2D8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</w:tr>
      <w:tr w:rsidR="00FD2538" w:rsidRPr="00200E23" w14:paraId="39AA9659" w14:textId="77777777" w:rsidTr="00200E23">
        <w:trPr>
          <w:trHeight w:val="776"/>
        </w:trPr>
        <w:tc>
          <w:tcPr>
            <w:tcW w:w="3279" w:type="dxa"/>
            <w:vMerge/>
            <w:tcBorders>
              <w:bottom w:val="single" w:sz="4" w:space="0" w:color="auto"/>
            </w:tcBorders>
          </w:tcPr>
          <w:p w14:paraId="02CE493B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0545" w14:textId="77777777" w:rsidR="00FD2538" w:rsidRPr="00200E23" w:rsidRDefault="00FD2538" w:rsidP="002A3265">
            <w:pPr>
              <w:spacing w:after="0"/>
              <w:ind w:left="394" w:hanging="394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301B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46A5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08EA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90F5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EDD3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71D61CE9" w14:textId="77777777" w:rsidTr="00200E23">
        <w:trPr>
          <w:trHeight w:val="4161"/>
        </w:trPr>
        <w:tc>
          <w:tcPr>
            <w:tcW w:w="3279" w:type="dxa"/>
            <w:vMerge w:val="restart"/>
          </w:tcPr>
          <w:p w14:paraId="6056B3D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7.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น้ำ</w:t>
            </w:r>
          </w:p>
          <w:p w14:paraId="793F15D3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มีการปรับปรุงประสิทธิภาพการใช้น้ำหรือ มีการหมุนเวียนน้ำกลับมาใช้ซ้ำหรือ นำกลับมาใช้ใหม่ </w:t>
            </w:r>
          </w:p>
          <w:p w14:paraId="0435391D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8DCD1F3" w14:textId="77777777" w:rsidR="00FD2538" w:rsidRPr="00200E23" w:rsidRDefault="00FD2538" w:rsidP="00FD2538">
            <w:pPr>
              <w:pStyle w:val="ListParagraph"/>
              <w:numPr>
                <w:ilvl w:val="0"/>
                <w:numId w:val="19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พิจารณาเฉพาะกระบวนการผลิตผลิตภัณฑ์ที่ขอการรับรอง</w:t>
            </w:r>
          </w:p>
          <w:p w14:paraId="1A6F0489" w14:textId="77777777" w:rsidR="00FD2538" w:rsidRPr="00200E23" w:rsidRDefault="00FD2538" w:rsidP="00FD2538">
            <w:pPr>
              <w:pStyle w:val="ListParagraph"/>
              <w:numPr>
                <w:ilvl w:val="0"/>
                <w:numId w:val="19"/>
              </w:numPr>
              <w:spacing w:after="0"/>
              <w:ind w:left="250" w:hanging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บันทึกปริมาณการใช้น้ำก่อนดำเนินโครงการปรับปรุงประสิทธิภาพการใช้น้ำ ให้ใช้ข้อมูลย้อนหลังไม่เกิน 3 ปี เป็นปีฐาน (ที่มีข้อมูลครบ 12 เดือน)</w:t>
            </w:r>
          </w:p>
          <w:p w14:paraId="300DCA85" w14:textId="77777777" w:rsidR="00FD2538" w:rsidRPr="00200E23" w:rsidRDefault="00FD2538" w:rsidP="00FD2538">
            <w:pPr>
              <w:pStyle w:val="ListParagraph"/>
              <w:numPr>
                <w:ilvl w:val="0"/>
                <w:numId w:val="19"/>
              </w:numPr>
              <w:spacing w:after="0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บันทึกปริมาณการใช้น้ำหลังดำเนินโครงการปรับปรุงประสิทธิภาพการใช้น้ำ ให้ใช้ข้อมูลปีปัจจุบัน (ที่มีข้อมูลครบ 12 เดือน)</w:t>
            </w:r>
          </w:p>
          <w:p w14:paraId="1C1F267D" w14:textId="77777777" w:rsidR="00FD2538" w:rsidRPr="00200E23" w:rsidRDefault="00FD2538" w:rsidP="00FD2538">
            <w:pPr>
              <w:pStyle w:val="ListParagraph"/>
              <w:numPr>
                <w:ilvl w:val="0"/>
                <w:numId w:val="19"/>
              </w:numPr>
              <w:spacing w:after="0"/>
              <w:ind w:left="25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กรณีบริษัทจัดตั้งใหม่ไม่จำเป็นต้องใช้ข้อมูลครบ 12 เดือน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7214388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เอกสารอย่างใดอย่างหนึ่ง ดังนี้</w:t>
            </w:r>
          </w:p>
          <w:p w14:paraId="0CC9E9A4" w14:textId="77777777" w:rsidR="00FD2538" w:rsidRPr="00200E23" w:rsidRDefault="00FD2538" w:rsidP="002A3265">
            <w:pPr>
              <w:spacing w:after="0"/>
              <w:ind w:left="280" w:hanging="28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740868508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เอกสารแสดงข้อมูลบัญชีรายการน้ำ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เอกสารแสดงแผนผังการไหลของน้ำ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และสมดุลน้ำเอกสารแสดงข้อมูลโครงการเพิ่มประสิทธิภาพการใช้น้ำและบันทึกปริมาณการใช้น้ำก่อนและหลังดำเนินโครงการปรับปรุงประสิทธิภาพการใช้น้ำ</w:t>
            </w:r>
          </w:p>
          <w:p w14:paraId="3914F472" w14:textId="77777777" w:rsidR="00FD2538" w:rsidRPr="00200E23" w:rsidRDefault="00FD2538" w:rsidP="002A3265">
            <w:pPr>
              <w:spacing w:after="0"/>
              <w:ind w:left="280" w:hanging="28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795514390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เอกสารแสดงข้อมูลบัญชีรายการน้ำ เอกสารแสดงแผนผังการไหลของน้ำและสมดุลน้ำ</w:t>
            </w:r>
          </w:p>
          <w:p w14:paraId="73F29845" w14:textId="77777777" w:rsidR="00FD2538" w:rsidRPr="00200E23" w:rsidRDefault="00FD2538" w:rsidP="002A3265">
            <w:pPr>
              <w:spacing w:after="0"/>
              <w:ind w:left="28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และการหมุนเวียนน้ำกลับมาใช้ซ้ำ </w:t>
            </w:r>
          </w:p>
          <w:p w14:paraId="3CC88D9F" w14:textId="77777777" w:rsidR="00FD2538" w:rsidRPr="00200E23" w:rsidRDefault="00FD2538" w:rsidP="002A3265">
            <w:pPr>
              <w:spacing w:after="0"/>
              <w:ind w:left="280" w:hanging="27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597865577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เอกสารแสดงข้อมูลบัญชีรายการน้ำ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เอกสารแสดงแผนผังการไหลของน้ำและสมดุลน้ำ </w:t>
            </w:r>
          </w:p>
          <w:p w14:paraId="74EDDEA8" w14:textId="77777777" w:rsidR="00FD2538" w:rsidRPr="00200E23" w:rsidRDefault="00FD2538" w:rsidP="002A3265">
            <w:pPr>
              <w:spacing w:after="0"/>
              <w:ind w:left="274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และการนำกลับมาใช้ใหม่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3C15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56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D71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B5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7D57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</w:tr>
      <w:tr w:rsidR="00FD2538" w:rsidRPr="00200E23" w14:paraId="084DE146" w14:textId="77777777" w:rsidTr="00200E23">
        <w:trPr>
          <w:trHeight w:val="692"/>
        </w:trPr>
        <w:tc>
          <w:tcPr>
            <w:tcW w:w="3279" w:type="dxa"/>
            <w:vMerge/>
            <w:tcBorders>
              <w:bottom w:val="single" w:sz="4" w:space="0" w:color="auto"/>
            </w:tcBorders>
          </w:tcPr>
          <w:p w14:paraId="3E200431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vAlign w:val="center"/>
          </w:tcPr>
          <w:p w14:paraId="6D4D94DA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4733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5074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2A1F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DE6B8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8D344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31BB8711" w14:textId="77777777" w:rsidTr="00200E23">
        <w:trPr>
          <w:trHeight w:val="647"/>
        </w:trPr>
        <w:tc>
          <w:tcPr>
            <w:tcW w:w="3279" w:type="dxa"/>
            <w:vMerge w:val="restart"/>
          </w:tcPr>
          <w:p w14:paraId="2EC800CA" w14:textId="77777777" w:rsidR="00FD2538" w:rsidRPr="00200E23" w:rsidRDefault="00FD2538" w:rsidP="007355AC">
            <w:pPr>
              <w:spacing w:after="0"/>
              <w:ind w:left="256" w:hanging="256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8.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ของเสีย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>(Post-Industrial Recycle: PIR)</w:t>
            </w:r>
          </w:p>
          <w:p w14:paraId="49D30E5D" w14:textId="77777777" w:rsidR="00FD2538" w:rsidRPr="00200E23" w:rsidRDefault="00FD2538" w:rsidP="002A3265">
            <w:pPr>
              <w:spacing w:after="0"/>
              <w:ind w:left="25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มีการปรับปรุงประสิทธิภาพการจัดการของเสีย โดยการลดปริมาณของเสีย หรือ ไม่มีการฝังกลบของเสีย หรือ การแลกเปลี่ยนของเสียระหว่างโรงงาน</w:t>
            </w:r>
          </w:p>
          <w:p w14:paraId="40DADC7A" w14:textId="77777777" w:rsidR="00FD2538" w:rsidRPr="00200E23" w:rsidRDefault="00FD2538" w:rsidP="002A3265">
            <w:pPr>
              <w:spacing w:after="0"/>
              <w:ind w:hanging="2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749143B" w14:textId="77777777" w:rsidR="00FD2538" w:rsidRPr="00200E23" w:rsidRDefault="00FD2538" w:rsidP="002A3265">
            <w:pPr>
              <w:spacing w:after="0"/>
              <w:ind w:left="160" w:hanging="1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1)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พิจารณาเฉพาะกระบวนการผลิตผลิตภัณฑ์ที่ขอการรับรอง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</w:p>
          <w:p w14:paraId="3999E217" w14:textId="77777777" w:rsidR="00FD2538" w:rsidRPr="00200E23" w:rsidRDefault="00FD2538" w:rsidP="002A3265">
            <w:pPr>
              <w:spacing w:after="0"/>
              <w:ind w:left="155" w:hanging="175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2)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คะแนนที่ได้ในข้อนี้จะเป็น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0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5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10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</w:t>
            </w:r>
          </w:p>
          <w:p w14:paraId="5F837135" w14:textId="77777777" w:rsidR="00FD2538" w:rsidRPr="00200E23" w:rsidRDefault="00FD2538" w:rsidP="002A3265">
            <w:pPr>
              <w:spacing w:after="0"/>
              <w:ind w:left="155" w:hanging="1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3)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ab/>
              <w:t>บันทึกปริมาณการเกิดของเสียก่อนดำเนินโครงการลดของเสีย ให้ใช้ข้อมูล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 xml:space="preserve">ย้อนหลังไม่เกิน 3 ปี เป็นปีฐาน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ที่มีข้อมูลครบ 12 เดือน)</w:t>
            </w:r>
          </w:p>
          <w:p w14:paraId="509AEAD3" w14:textId="77777777" w:rsidR="00FD2538" w:rsidRPr="00200E23" w:rsidRDefault="00FD2538" w:rsidP="002A3265">
            <w:pPr>
              <w:spacing w:after="0"/>
              <w:ind w:left="155" w:hanging="1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4)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ab/>
              <w:t xml:space="preserve">บันทึกปริมาณการเกิดของเสียหลังดำเนินโครงการลดของเสีย ให้ใช้ข้อมูลปีปัจจุบัน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ที่มีข้อมูลครบ 12 เดือน)</w:t>
            </w:r>
          </w:p>
          <w:p w14:paraId="622F820F" w14:textId="77777777" w:rsidR="00FD2538" w:rsidRPr="00200E23" w:rsidRDefault="00FD2538" w:rsidP="002A3265">
            <w:pPr>
              <w:spacing w:after="0"/>
              <w:ind w:left="155" w:hanging="1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5)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ab/>
              <w:t>กรณีบริษัทจัดตั้งใหม่ไม่จำเป็นต้องใช้ข้อมูลครบ 12 เดือน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539D5862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เอกสารอย่างใดอย่างหนึ่ง ดังนี้</w:t>
            </w:r>
          </w:p>
          <w:p w14:paraId="565486C2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เอกสารแสดงข้อมูลบัญชีรายการของเสีย เอกสารแสดงข้อมูลโครงการลดของเสีย และ บันทึกปริมาณการเกิดของเสียก่อนและหลังดำเนินโครงการลดของเสีย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2B48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9D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93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E26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1552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</w:tr>
      <w:tr w:rsidR="00FD2538" w:rsidRPr="00200E23" w14:paraId="1911297D" w14:textId="77777777" w:rsidTr="00200E23">
        <w:trPr>
          <w:trHeight w:val="854"/>
        </w:trPr>
        <w:tc>
          <w:tcPr>
            <w:tcW w:w="3279" w:type="dxa"/>
            <w:vMerge/>
          </w:tcPr>
          <w:p w14:paraId="023953DF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34A6E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proofErr w:type="gramStart"/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เอกสารแสดงการบริหารจัดการขยะฝังกลบเป็นศูนย์</w:t>
            </w:r>
            <w:proofErr w:type="gram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zero waste to landfill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14:paraId="525B558C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5" w:firstLine="2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อ้างอิง มาตรฐานใดมาตรฐานหนึ่ง ดังนี้</w:t>
            </w:r>
          </w:p>
          <w:p w14:paraId="14EDC8E2" w14:textId="77777777" w:rsidR="00FD2538" w:rsidRPr="00200E23" w:rsidRDefault="00FD2538" w:rsidP="00FD253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UL </w:t>
            </w:r>
            <w:proofErr w:type="gram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2799 :</w:t>
            </w:r>
            <w:proofErr w:type="gram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Landfill Waste Diversion Claim Validations</w:t>
            </w:r>
          </w:p>
          <w:p w14:paraId="01404499" w14:textId="77777777" w:rsidR="00FD2538" w:rsidRPr="00200E23" w:rsidRDefault="00FD2538" w:rsidP="00FD253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proofErr w:type="gram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Intertek :</w:t>
            </w:r>
            <w:proofErr w:type="gram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Zero Waste to Landfill Program Criteria</w:t>
            </w:r>
          </w:p>
          <w:p w14:paraId="1994416E" w14:textId="77777777" w:rsidR="00FD2538" w:rsidRPr="00200E23" w:rsidRDefault="00FD2538" w:rsidP="00FD253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Zero waste International Alliance : Policies (</w:t>
            </w:r>
            <w:hyperlink r:id="rId11" w:history="1">
              <w:r w:rsidRPr="00200E23">
                <w:rPr>
                  <w:rStyle w:val="Hyperlink"/>
                  <w:rFonts w:ascii="TH SarabunPSK" w:eastAsia="Tahoma" w:hAnsi="TH SarabunPSK" w:cs="TH SarabunPSK" w:hint="cs"/>
                  <w:sz w:val="28"/>
                  <w:szCs w:val="28"/>
                </w:rPr>
                <w:t>https://zwia.org/policies/</w:t>
              </w:r>
            </w:hyperlink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40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4C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3F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C6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48A7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trike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</w:tr>
      <w:tr w:rsidR="00FD2538" w:rsidRPr="00200E23" w14:paraId="568A571B" w14:textId="77777777" w:rsidTr="00200E23">
        <w:trPr>
          <w:trHeight w:val="854"/>
        </w:trPr>
        <w:tc>
          <w:tcPr>
            <w:tcW w:w="3279" w:type="dxa"/>
            <w:vMerge/>
          </w:tcPr>
          <w:p w14:paraId="427158A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</w:tcPr>
          <w:p w14:paraId="1163F4DD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57A1B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4403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F7A3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C0C2B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BB34C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17E59503" w14:textId="77777777" w:rsidTr="00200E23">
        <w:trPr>
          <w:trHeight w:val="4067"/>
        </w:trPr>
        <w:tc>
          <w:tcPr>
            <w:tcW w:w="3279" w:type="dxa"/>
            <w:vMerge w:val="restart"/>
          </w:tcPr>
          <w:p w14:paraId="143C8140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9.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สารเคมีอันตราย</w:t>
            </w:r>
          </w:p>
          <w:p w14:paraId="703730F0" w14:textId="77777777" w:rsidR="00FD2538" w:rsidRPr="00200E23" w:rsidRDefault="00FD2538" w:rsidP="002A3265">
            <w:pPr>
              <w:spacing w:after="0"/>
              <w:ind w:left="1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มีการนำสารเคมีกลับมาใช้ซ้ำ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หรือ มีการนำสารเคมีกลับมารี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หรือ มีการลดปริมาณการใช้สารเคมีที่เป็นอันตราย หรือ ไม่มีการใช้สารเคมีอันตราย</w:t>
            </w:r>
          </w:p>
          <w:p w14:paraId="105D6C57" w14:textId="77777777" w:rsidR="00FD2538" w:rsidRPr="00200E23" w:rsidRDefault="00FD2538" w:rsidP="002A3265">
            <w:pPr>
              <w:spacing w:after="0"/>
              <w:ind w:left="-20" w:firstLine="2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B11F089" w14:textId="77777777" w:rsidR="00FD2538" w:rsidRPr="00200E23" w:rsidRDefault="00FD2538" w:rsidP="00FD2538">
            <w:pPr>
              <w:pStyle w:val="ListParagraph"/>
              <w:numPr>
                <w:ilvl w:val="0"/>
                <w:numId w:val="21"/>
              </w:num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พิจารณาเฉพาะกระบวนการผลิตผลิตภัณฑ์ที่ขอการรับรอง</w:t>
            </w:r>
          </w:p>
          <w:p w14:paraId="2A45BB0C" w14:textId="77777777" w:rsidR="00FD2538" w:rsidRPr="00200E23" w:rsidRDefault="00FD2538" w:rsidP="00FD2538">
            <w:pPr>
              <w:pStyle w:val="ListParagraph"/>
              <w:numPr>
                <w:ilvl w:val="0"/>
                <w:numId w:val="21"/>
              </w:numPr>
              <w:spacing w:after="0"/>
              <w:ind w:left="340" w:hanging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สารเคมีอันตราย อ้างอิงตามพระราชบัญญัติ วัตถุอันตราย พ.ศ. 2535</w:t>
            </w:r>
          </w:p>
          <w:p w14:paraId="502577D3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4872C9E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  <w:p w14:paraId="13A72E1D" w14:textId="2FFD20AB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0FA0D9B1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เอกสารอย่างใดอย่างหนึ่ง ดังนี้</w:t>
            </w:r>
          </w:p>
          <w:p w14:paraId="28CC15E5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21815531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เอกสารข้อมูลความปลอดภัย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safety data sheet)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และ เอกสารแสดงมาตรการนำสารเคมีที่เป็นอันตรายมาใช้ซ้ำ</w:t>
            </w:r>
          </w:p>
          <w:p w14:paraId="3870CDAE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480650144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เอกสารข้อมูลความปลอดภัย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safety data sheet)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และ เอกสารแสดงมาตรการนำสารเคมีที่เป็นอันตรายมารี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ไซเคิล</w:t>
            </w:r>
            <w:proofErr w:type="spellEnd"/>
          </w:p>
          <w:p w14:paraId="5A8F5DBB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5" w:hanging="27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919440619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เอกสารข้อมูลความปลอดภัย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safety data sheet)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และ เอกสารแสดงมาตรการลดปริมาณการใช้สารเคมีที่เป็นอันตราย</w:t>
            </w:r>
          </w:p>
          <w:p w14:paraId="490BC0C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86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744492753"/>
              </w:sdtPr>
              <w:sdtContent>
                <w:sdt>
                  <w:sdtPr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ag w:val="goog_rdk_12"/>
                    <w:id w:val="-271018977"/>
                  </w:sdtPr>
                  <w:sdtContent>
                    <w:r w:rsidRPr="00200E23"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□</w:t>
                    </w:r>
                  </w:sdtContent>
                </w:sdt>
                <w:r w:rsidRPr="00200E23">
                  <w:rPr>
                    <w:rFonts w:ascii="TH SarabunPSK" w:hAnsi="TH SarabunPSK" w:cs="TH SarabunPSK" w:hint="cs"/>
                    <w:sz w:val="28"/>
                    <w:szCs w:val="28"/>
                    <w:cs/>
                  </w:rPr>
                  <w:t xml:space="preserve">  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เอกสารรับรองว่าไม่มีการใช้สารเคมีอันตราย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E5C3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B5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85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F86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03E6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</w:tr>
      <w:tr w:rsidR="00FD2538" w:rsidRPr="00200E23" w14:paraId="5D890D45" w14:textId="77777777" w:rsidTr="00200E23">
        <w:trPr>
          <w:trHeight w:val="827"/>
        </w:trPr>
        <w:tc>
          <w:tcPr>
            <w:tcW w:w="3279" w:type="dxa"/>
            <w:vMerge/>
          </w:tcPr>
          <w:p w14:paraId="5D92470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</w:tcPr>
          <w:p w14:paraId="4FBC3841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6E57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EB804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2F8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F4E6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80CA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045C798B" w14:textId="77777777" w:rsidTr="00200E23">
        <w:trPr>
          <w:trHeight w:val="2253"/>
        </w:trPr>
        <w:tc>
          <w:tcPr>
            <w:tcW w:w="3279" w:type="dxa"/>
            <w:vMerge w:val="restart"/>
          </w:tcPr>
          <w:p w14:paraId="6DCF0447" w14:textId="77777777" w:rsidR="00FD2538" w:rsidRPr="00200E23" w:rsidRDefault="00FD2538" w:rsidP="002A3265">
            <w:pPr>
              <w:spacing w:after="0"/>
              <w:ind w:left="340" w:hanging="3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 xml:space="preserve">10.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วิธีการใช้งานผลิตภัณฑ์</w:t>
            </w:r>
          </w:p>
          <w:p w14:paraId="39E40D6E" w14:textId="77777777" w:rsidR="00FD2538" w:rsidRPr="00200E23" w:rsidRDefault="00FD2538" w:rsidP="002A3265">
            <w:pPr>
              <w:spacing w:after="0"/>
              <w:ind w:left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มีการแสดงข้อมูลวิธีการใช้งานผลิตภัณฑ์ที่คำนึงถึงผลกระทบต่อการหมุนเวียนของวัสดุ หรือ ผลกระทบต่อสิ่งแวดล้อมในภาพรวม</w:t>
            </w:r>
          </w:p>
          <w:p w14:paraId="7CE415B1" w14:textId="77777777" w:rsidR="00FD2538" w:rsidRPr="00200E23" w:rsidRDefault="00FD2538" w:rsidP="002A3265">
            <w:pPr>
              <w:spacing w:after="0"/>
              <w:ind w:left="-20" w:firstLine="2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ข้อกำหนดนี้ ไม่ประยุกต์ใช้กับผลิตภัณฑ์ประเภท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B2B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5521143F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 ดังนี้</w:t>
            </w:r>
          </w:p>
          <w:p w14:paraId="711292EB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250126122"/>
              </w:sdtPr>
              <w:sdtContent>
                <w:r w:rsidRPr="00200E23">
                  <w:rPr>
                    <w:rFonts w:ascii="TH SarabunPSK" w:hAnsi="TH SarabunPSK" w:cs="TH SarabunPSK" w:hint="cs"/>
                    <w:sz w:val="28"/>
                    <w:szCs w:val="28"/>
                    <w:cs/>
                  </w:rPr>
                  <w:t xml:space="preserve"> </w:t>
                </w:r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เอกสารแสดงข้อมูลให้ผู้บริโภคทราบถึงวิธีการใช้งานผลิตภัณฑ์ที่คำนึงถึงผลกระทบต่อการหมุนเวียนของวัสดุ หรือ ผลกระทบต่อสิ่งแวดล้อมในภาพรวม</w:t>
            </w:r>
          </w:p>
          <w:p w14:paraId="709B3FFF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672301828"/>
              </w:sdtPr>
              <w:sdtContent>
                <w:sdt>
                  <w:sdtPr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ag w:val="goog_rdk_12"/>
                    <w:id w:val="-578207397"/>
                  </w:sdtPr>
                  <w:sdtContent>
                    <w:r w:rsidRPr="00200E23"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□</w:t>
                    </w:r>
                  </w:sdtContent>
                </w:sdt>
                <w:r w:rsidRPr="00200E23">
                  <w:rPr>
                    <w:rFonts w:ascii="TH SarabunPSK" w:hAnsi="TH SarabunPSK" w:cs="TH SarabunPSK" w:hint="cs"/>
                    <w:sz w:val="28"/>
                    <w:szCs w:val="28"/>
                    <w:cs/>
                  </w:rPr>
                  <w:t xml:space="preserve">  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เอกสารแสดงข้อมูลให้ผู้บริโภคทราบถึงวิธีการดูแลรักษาเพื่อช่วยรักษาคุณภาพ การซ่อมบำรุงเพื่อยืดอายุการใช้งาน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EF318F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0A06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AD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45C4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2654200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364C3573" w14:textId="77777777" w:rsidTr="00200E23">
        <w:trPr>
          <w:trHeight w:val="870"/>
        </w:trPr>
        <w:tc>
          <w:tcPr>
            <w:tcW w:w="3279" w:type="dxa"/>
            <w:vMerge/>
          </w:tcPr>
          <w:p w14:paraId="6AAF7F4B" w14:textId="77777777" w:rsidR="00FD2538" w:rsidRPr="00200E23" w:rsidRDefault="00FD2538" w:rsidP="002A3265">
            <w:pPr>
              <w:spacing w:after="0"/>
              <w:ind w:left="340" w:hanging="3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</w:tcPr>
          <w:p w14:paraId="69B34A1E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4"/>
                <w:id w:val="-689768854"/>
              </w:sdtPr>
              <w:sdtContent/>
            </w:sdt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1E2F53F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5EAC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B996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99D9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6D60D15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68847859" w14:textId="77777777" w:rsidTr="00200E23">
        <w:trPr>
          <w:trHeight w:val="1502"/>
        </w:trPr>
        <w:tc>
          <w:tcPr>
            <w:tcW w:w="3279" w:type="dxa"/>
            <w:vMerge w:val="restart"/>
          </w:tcPr>
          <w:p w14:paraId="24AB48D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11.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การคัดแยกขยะที่ต้นทาง</w:t>
            </w:r>
          </w:p>
          <w:p w14:paraId="5A15D4DD" w14:textId="77777777" w:rsidR="00FD2538" w:rsidRPr="00200E23" w:rsidRDefault="00FD2538" w:rsidP="002A3265">
            <w:pPr>
              <w:spacing w:after="0"/>
              <w:ind w:left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มีการแสดงข้อมูลให้ผู้บริโภคทราบถึงวิธีการจัดการของเสียหลังหมดอายุการใช้งาน ที่ส่งเสริมการหมุนเวียนของวัสดุ ได้แก่ การคัดแยกของเสีย และ การกำจัดของเสีย</w:t>
            </w:r>
          </w:p>
          <w:p w14:paraId="1294190D" w14:textId="77777777" w:rsidR="00FD2538" w:rsidRPr="00200E23" w:rsidRDefault="00FD2538" w:rsidP="002A3265">
            <w:pPr>
              <w:spacing w:after="0"/>
              <w:ind w:left="-2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ข้อกำหนดนี้ ไม่ประยุกต์ใช้กับผลิตภัณฑ์ประเภท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B2B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14:paraId="5691B76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271232880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 เอกสารแสดงข้อมูลให้ผู้บริโภคทราบถึงวิธีการจัดการของเสียหลังหมดอายุการใช้งานที่ส่งเสริมการหมุนเวียนของวัสดุ ได้แก่ การคัดแยกของเสีย และ การกำจัดของเสีย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F34CBC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167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141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4C08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B0A62F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673CCE4B" w14:textId="77777777" w:rsidTr="00200E23">
        <w:trPr>
          <w:trHeight w:val="1075"/>
        </w:trPr>
        <w:tc>
          <w:tcPr>
            <w:tcW w:w="3279" w:type="dxa"/>
            <w:vMerge/>
          </w:tcPr>
          <w:p w14:paraId="3D09D283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vAlign w:val="center"/>
          </w:tcPr>
          <w:p w14:paraId="3CDDBFCF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22144856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7C07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E878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2A6E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7C79C9B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7D8F0BA4" w14:textId="77777777" w:rsidTr="00200E23">
        <w:trPr>
          <w:trHeight w:val="1223"/>
        </w:trPr>
        <w:tc>
          <w:tcPr>
            <w:tcW w:w="3279" w:type="dxa"/>
            <w:vMerge w:val="restart"/>
          </w:tcPr>
          <w:p w14:paraId="22C2F87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12.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การรวบรวมของเสีย</w:t>
            </w:r>
          </w:p>
          <w:p w14:paraId="2CC32302" w14:textId="77777777" w:rsidR="00FD2538" w:rsidRPr="00200E23" w:rsidRDefault="00FD2538" w:rsidP="002A3265">
            <w:pPr>
              <w:spacing w:after="0"/>
              <w:ind w:left="34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มีการดำเนินงานเพื่อรวบรวมของเสียหลังหมดอายุการใช้งาน กลับสู่ระบบเศรษฐกิจ</w:t>
            </w:r>
          </w:p>
          <w:p w14:paraId="5522D087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การดำเนินงานเพื่อรวบรวมของเสียหลังหมดอายุการใช้งาน กลับสู่ระบบเศรษฐกิจ ไม่ประยุกต์ใช้กับผลิตภัณฑ์วัสดุก่อสร้างที่มีอายุการใช้งานยาวนานเนื่องจากไม่สามารถติดตามเรียกคืนได้โดยง่าย</w:t>
            </w:r>
          </w:p>
        </w:tc>
        <w:tc>
          <w:tcPr>
            <w:tcW w:w="4331" w:type="dxa"/>
            <w:gridSpan w:val="2"/>
            <w:vMerge w:val="restart"/>
          </w:tcPr>
          <w:p w14:paraId="33A6ABDA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1507481059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 เอกสารแสดงข้อมูลว่ามีการดำเนินงานเพื่อรวบรวมของเสียหลังหมดอายุการใช้งาน กลับสู่ระบบเศรษฐกิจ</w:t>
            </w:r>
          </w:p>
          <w:p w14:paraId="1C1B97C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tag w:val="goog_rdk_12"/>
                <w:id w:val="-1262759628"/>
              </w:sdtPr>
              <w:sdtContent>
                <w:r w:rsidRPr="00200E23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 รูปภาพแสดงว่ามีการดำเนินงานเพื่อรวบรวมของเสียหลังหมดอายุการใช้งาน กลับสู่ระบบเศรษฐกิจ</w:t>
            </w:r>
          </w:p>
          <w:p w14:paraId="69995426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A3E26D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6168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E08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150490C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vMerge w:val="restart"/>
            <w:vAlign w:val="center"/>
          </w:tcPr>
          <w:p w14:paraId="6B3223A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7461E77D" w14:textId="77777777" w:rsidTr="00200E23">
        <w:trPr>
          <w:trHeight w:val="1468"/>
        </w:trPr>
        <w:tc>
          <w:tcPr>
            <w:tcW w:w="3279" w:type="dxa"/>
            <w:vMerge/>
          </w:tcPr>
          <w:p w14:paraId="73BE9F84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331" w:type="dxa"/>
            <w:gridSpan w:val="2"/>
            <w:vMerge/>
            <w:tcBorders>
              <w:bottom w:val="single" w:sz="4" w:space="0" w:color="auto"/>
            </w:tcBorders>
          </w:tcPr>
          <w:p w14:paraId="72FA7E6A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A54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  <w:p w14:paraId="7560E5C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(วัสดุก่อสร้าง)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AA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  <w:p w14:paraId="10A0B7B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(วัสดุก่อสร้าง)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28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629F2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14:paraId="00811DD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  <w:tr w:rsidR="00FD2538" w:rsidRPr="00200E23" w14:paraId="5FC923AA" w14:textId="77777777" w:rsidTr="00200E23">
        <w:trPr>
          <w:trHeight w:val="557"/>
        </w:trPr>
        <w:tc>
          <w:tcPr>
            <w:tcW w:w="3279" w:type="dxa"/>
            <w:vMerge/>
          </w:tcPr>
          <w:p w14:paraId="6AFA9D52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</w:tcPr>
          <w:p w14:paraId="2B72425C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596888B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2487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2277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9FCE5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2FBC244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4DBBCA0B" w14:textId="77777777" w:rsidTr="00200E23">
        <w:trPr>
          <w:trHeight w:val="1556"/>
        </w:trPr>
        <w:tc>
          <w:tcPr>
            <w:tcW w:w="3279" w:type="dxa"/>
            <w:vMerge w:val="restart"/>
          </w:tcPr>
          <w:p w14:paraId="426A2978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13. 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การดำเนินกิจกรรมการขยายความรับผิดชอบของผู้ผลิต</w:t>
            </w: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>Post Consumer</w:t>
            </w:r>
            <w:proofErr w:type="spellEnd"/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</w:rPr>
              <w:t xml:space="preserve"> Recycle: PCR)</w:t>
            </w:r>
          </w:p>
          <w:p w14:paraId="7DC5ABF8" w14:textId="77777777" w:rsidR="00FD2538" w:rsidRPr="00200E23" w:rsidRDefault="00FD2538" w:rsidP="002A3265">
            <w:pPr>
              <w:spacing w:after="0"/>
              <w:ind w:left="34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มีการดำเนินงานตามกิจกรรมการขยายความรับผิดชอบของผู้ผลิต ที่ส่งเสริมการหมุนเวียนของวัสดุ หรือ การเข้าร่วมเป็นหน่วยงานภาคีในโปรแกรมการขยายความรับผิดชอบของผู้ผลิต</w:t>
            </w:r>
          </w:p>
          <w:p w14:paraId="23633EF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lastRenderedPageBreak/>
              <w:t>หมายเหตุ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คะแนนที่ได้ในข้อนี้จะเป็น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0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3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5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>10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 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730C34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lastRenderedPageBreak/>
              <w:t>เอกสารอย่างใดอย่างหนึ่ง ดังนี้</w:t>
            </w:r>
          </w:p>
          <w:p w14:paraId="25A80082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หลักฐานการ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ประกาศเจตนารมณ์ในการเข้าร่วม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กิจกรรมการขยายความรับผิดชอบของผู้ผลิต ที่ส่งเสริมการหมุนเวียนของวัสดุของบริษัทเอง หรือ เข้าร่วมกลุ่มอุตสาหกรรม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837F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8F106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6A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59E4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B552D6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74C3D1BA" w14:textId="77777777" w:rsidTr="00200E23">
        <w:trPr>
          <w:trHeight w:val="758"/>
        </w:trPr>
        <w:tc>
          <w:tcPr>
            <w:tcW w:w="3279" w:type="dxa"/>
            <w:vMerge/>
          </w:tcPr>
          <w:p w14:paraId="3842EAFA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0A2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หลักฐานแสดงการเป็นผู้สนับสนุนในการดำเนินกิจกรรมการขยายความรับผิดชอบของผู้ผลิต ที่ส่งเสริมการหมุนเวียนของวัสดุของบริษัทเอง หรือ เข้าร่วมกลุ่มอุตสาหกรรม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529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D97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B4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67CB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C98F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6F1C6E3D" w14:textId="77777777" w:rsidTr="00200E23">
        <w:trPr>
          <w:trHeight w:val="2606"/>
        </w:trPr>
        <w:tc>
          <w:tcPr>
            <w:tcW w:w="3279" w:type="dxa"/>
            <w:vMerge/>
          </w:tcPr>
          <w:p w14:paraId="1751C2A9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B10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proofErr w:type="gramStart"/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</w:rPr>
              <w:t xml:space="preserve"> 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หลักฐานแสดงว่ามีการดำเนินกิจกรรมการขยายความรับผิดชอบของผู้ผลิต</w:t>
            </w:r>
            <w:proofErr w:type="gramEnd"/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ที่ส่งเสริมการหมุนเวียนของวัสดุของบริษัทเอง หรือ เข้าร่วมกลุ่มอุตสาหกรรม หรือ</w:t>
            </w:r>
          </w:p>
          <w:p w14:paraId="07D4AB19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เอกสารแสดงการแลกเปลี่ยนของเสียระหว่างโรงงาน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(waste exchange)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หรือ การใช้ประโยชน์ของเสียแบบพึ่งพา (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waste symbiosis)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4A01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389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7F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D92BB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E308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7778E7B8" w14:textId="77777777" w:rsidTr="00200E23">
        <w:trPr>
          <w:trHeight w:val="383"/>
        </w:trPr>
        <w:tc>
          <w:tcPr>
            <w:tcW w:w="3279" w:type="dxa"/>
            <w:vMerge/>
          </w:tcPr>
          <w:p w14:paraId="30BE0D2D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A4C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FC0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DA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EE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F80F0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2530C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N/A</w:t>
            </w:r>
          </w:p>
        </w:tc>
      </w:tr>
      <w:tr w:rsidR="00FD2538" w:rsidRPr="00200E23" w14:paraId="64B39F3B" w14:textId="77777777" w:rsidTr="00200E23">
        <w:trPr>
          <w:trHeight w:val="773"/>
        </w:trPr>
        <w:tc>
          <w:tcPr>
            <w:tcW w:w="3279" w:type="dxa"/>
            <w:vMerge w:val="restart"/>
          </w:tcPr>
          <w:p w14:paraId="745E816A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14. </w:t>
            </w:r>
            <w:r w:rsidRPr="00200E2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คะแนนเพิ่มพิเศษ</w:t>
            </w:r>
            <w:r w:rsidRPr="00200E2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รางวัลที่เกี่ยวข้องกับผลิตภัณฑ์และประเด็นเศษฐกิจหมุนเวียน</w:t>
            </w:r>
          </w:p>
          <w:p w14:paraId="6897BE36" w14:textId="77777777" w:rsidR="00FD2538" w:rsidRPr="00200E23" w:rsidRDefault="00FD2538" w:rsidP="002A3265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u w:val="single"/>
                <w:cs/>
              </w:rPr>
              <w:t>หมายเหตุ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กรณีผลิตภัณฑ์ (หรือบรรจุภัณฑ์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B2B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) ได้รับรางวัลการออกแบบที่คำนึงถึงการหมุนเวียนวัสดุกลับคืนสู่ระบบเศรษฐกิจ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(ตามข้อ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2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4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ด้านบน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 xml:space="preserve">)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จะได้รับคะแนนข้อนี้เพิ่มเติมเป็นพิเศษ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8FD74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5" w:hanging="365"/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 xml:space="preserve">  รางวัลที่เกี่ยวข้องกับผลิตภัณฑ์ (หรือบรรจุภัณฑ์ 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B2B</w:t>
            </w:r>
            <w:r w:rsidRPr="00200E23">
              <w:rPr>
                <w:rFonts w:ascii="TH SarabunPSK" w:eastAsia="Tahoma" w:hAnsi="TH SarabunPSK" w:cs="TH SarabunPSK" w:hint="cs"/>
                <w:sz w:val="28"/>
                <w:szCs w:val="28"/>
                <w:cs/>
              </w:rPr>
              <w:t>) และประเด็นเศษฐกิจหมุนเวียน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14:paraId="76D00AD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14:paraId="263C4FF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92E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04FC959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9044ABA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5</w:t>
            </w:r>
          </w:p>
        </w:tc>
      </w:tr>
      <w:tr w:rsidR="00FD2538" w:rsidRPr="00200E23" w14:paraId="6DC3B884" w14:textId="77777777" w:rsidTr="00200E23">
        <w:trPr>
          <w:trHeight w:val="989"/>
        </w:trPr>
        <w:tc>
          <w:tcPr>
            <w:tcW w:w="3279" w:type="dxa"/>
            <w:vMerge/>
          </w:tcPr>
          <w:p w14:paraId="59F07638" w14:textId="77777777" w:rsidR="00FD2538" w:rsidRPr="00200E23" w:rsidRDefault="00FD2538" w:rsidP="002A3265">
            <w:pPr>
              <w:spacing w:after="0"/>
              <w:ind w:left="340" w:hanging="34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F42FBC" w14:textId="77777777" w:rsidR="00FD2538" w:rsidRPr="00200E23" w:rsidRDefault="00FD2538" w:rsidP="002A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/>
              <w:ind w:left="301" w:hanging="301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  <w:r w:rsidRPr="00200E23">
              <w:rPr>
                <w:rFonts w:ascii="Arial" w:eastAsia="Arial Unicode MS" w:hAnsi="Arial" w:cs="Arial"/>
                <w:sz w:val="28"/>
                <w:szCs w:val="28"/>
              </w:rPr>
              <w:t>□</w:t>
            </w:r>
            <w:r w:rsidRPr="00200E23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00E2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ไม่มีเอกสาร/หลักฐาน หรือไม่สอดคล้องตาม ข้อกำหนด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AD846F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6628565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42550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4C983744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68D174E" w14:textId="77777777" w:rsidR="00FD2538" w:rsidRPr="00200E23" w:rsidRDefault="00FD2538" w:rsidP="002A326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sz w:val="28"/>
                <w:szCs w:val="28"/>
              </w:rPr>
              <w:t>0</w:t>
            </w:r>
          </w:p>
        </w:tc>
      </w:tr>
      <w:tr w:rsidR="00FD2538" w:rsidRPr="00200E23" w14:paraId="7B76403D" w14:textId="77777777" w:rsidTr="00200E23">
        <w:tc>
          <w:tcPr>
            <w:tcW w:w="5395" w:type="dxa"/>
            <w:gridSpan w:val="2"/>
            <w:vMerge w:val="restart"/>
            <w:tcBorders>
              <w:right w:val="single" w:sz="4" w:space="0" w:color="auto"/>
            </w:tcBorders>
          </w:tcPr>
          <w:p w14:paraId="088A8E1A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b/>
                <w:sz w:val="28"/>
                <w:szCs w:val="28"/>
                <w:u w:val="single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u w:val="single"/>
                <w:cs/>
              </w:rPr>
              <w:t>หมายเหตุ</w:t>
            </w:r>
          </w:p>
          <w:p w14:paraId="467A2F85" w14:textId="77777777" w:rsidR="00FD2538" w:rsidRPr="00200E23" w:rsidRDefault="00FD2538" w:rsidP="00FD25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eastAsia="Tahoma" w:hAnsi="TH SarabunPSK" w:cs="TH SarabunPSK" w:hint="cs"/>
                <w:bCs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</w:rPr>
              <w:t xml:space="preserve">N/A </w:t>
            </w: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>หมายถึง ไม่ประยุกต์ใช้ข้อกำหนด</w:t>
            </w:r>
          </w:p>
          <w:p w14:paraId="587DE45F" w14:textId="77777777" w:rsidR="00FD2538" w:rsidRPr="00200E23" w:rsidRDefault="00FD2538" w:rsidP="00FD25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>กรณีที่คะแนนรวมไม่ถึง 100 ให้ทำการ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>สเกลอัพ</w:t>
            </w:r>
            <w:proofErr w:type="spellEnd"/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 xml:space="preserve">เป็น 100 คะแนน (ยังไม่นับรวมคะแนนเพิ่มพิเศษ ตามข้อ 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</w:rPr>
              <w:t>14)</w:t>
            </w:r>
          </w:p>
          <w:p w14:paraId="70AEEF4B" w14:textId="77777777" w:rsidR="00FD2538" w:rsidRPr="00200E23" w:rsidRDefault="00FD2538" w:rsidP="00FD25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lastRenderedPageBreak/>
              <w:t>คะแนนเพิ่มพิเศษในข้อ 14 จะนำมาบวกเพิ่มภายหลังจากการ</w:t>
            </w:r>
            <w:proofErr w:type="spellStart"/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>สเกลอัพ</w:t>
            </w:r>
            <w:proofErr w:type="spellEnd"/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  <w:cs/>
              </w:rPr>
              <w:t>แล้ว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021F07D6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คะแนนรวม (ข้อ 1-13) 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B7C4C51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A88CCB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D23759C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639A51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C23FB8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  <w:tr w:rsidR="00FD2538" w:rsidRPr="00200E23" w14:paraId="69634134" w14:textId="77777777" w:rsidTr="00200E23">
        <w:tc>
          <w:tcPr>
            <w:tcW w:w="5395" w:type="dxa"/>
            <w:gridSpan w:val="2"/>
            <w:vMerge/>
            <w:tcBorders>
              <w:right w:val="single" w:sz="4" w:space="0" w:color="auto"/>
            </w:tcBorders>
          </w:tcPr>
          <w:p w14:paraId="028B5335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3603D339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BCB09AD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95</w:t>
            </w:r>
          </w:p>
          <w:p w14:paraId="473F05C4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</w:pP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 xml:space="preserve">(วัสดุก่อสร้าง </w:t>
            </w: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85</w:t>
            </w:r>
            <w:r w:rsidRPr="00200E23">
              <w:rPr>
                <w:rFonts w:ascii="TH SarabunPSK" w:eastAsia="Tahoma" w:hAnsi="TH SarabunPSK" w:cs="TH SarabunPSK" w:hint="cs"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7CD1AD3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95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28AFCB2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90D3605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14:paraId="6ADE334F" w14:textId="77777777" w:rsidR="00FD2538" w:rsidRPr="00200E23" w:rsidRDefault="00FD2538" w:rsidP="002A3265">
            <w:pPr>
              <w:spacing w:after="0"/>
              <w:jc w:val="center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60</w:t>
            </w:r>
          </w:p>
        </w:tc>
      </w:tr>
      <w:tr w:rsidR="00FD2538" w:rsidRPr="00200E23" w14:paraId="3816EE36" w14:textId="77777777" w:rsidTr="00200E23">
        <w:tc>
          <w:tcPr>
            <w:tcW w:w="5395" w:type="dxa"/>
            <w:gridSpan w:val="2"/>
            <w:vMerge/>
            <w:tcBorders>
              <w:right w:val="single" w:sz="4" w:space="0" w:color="auto"/>
            </w:tcBorders>
          </w:tcPr>
          <w:p w14:paraId="1FC94A20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082D6620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0B38B74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12F9B2F7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0536EB2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CA68A5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4F1D74CE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  <w:tr w:rsidR="00FD2538" w:rsidRPr="00200E23" w14:paraId="6EAC91EA" w14:textId="77777777" w:rsidTr="00200E23">
        <w:tc>
          <w:tcPr>
            <w:tcW w:w="5395" w:type="dxa"/>
            <w:gridSpan w:val="2"/>
            <w:vMerge/>
            <w:tcBorders>
              <w:right w:val="single" w:sz="4" w:space="0" w:color="auto"/>
            </w:tcBorders>
          </w:tcPr>
          <w:p w14:paraId="62BD4C41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13235420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  <w:r w:rsidRPr="00200E23">
              <w:rPr>
                <w:rFonts w:ascii="TH SarabunPSK" w:eastAsia="Tahoma" w:hAnsi="TH SarabunPSK" w:cs="TH SarabunPSK" w:hint="cs"/>
                <w:b/>
                <w:bCs/>
                <w:sz w:val="28"/>
                <w:szCs w:val="28"/>
                <w:cs/>
              </w:rPr>
              <w:t>คะแนนรวม (ข้อ 1-14)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D5F026D" w14:textId="77777777" w:rsidR="00FD2538" w:rsidRPr="00200E23" w:rsidRDefault="00FD2538" w:rsidP="002A3265">
            <w:pPr>
              <w:spacing w:after="0"/>
              <w:jc w:val="right"/>
              <w:rPr>
                <w:rFonts w:ascii="TH SarabunPSK" w:eastAsia="Tahoma" w:hAnsi="TH SarabunPSK" w:cs="TH SarabunPSK" w:hint="cs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0ECEF48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CA47546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C33C949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9BDBA9B" w14:textId="77777777" w:rsidR="00FD2538" w:rsidRPr="00200E23" w:rsidRDefault="00FD2538" w:rsidP="002A3265">
            <w:pPr>
              <w:spacing w:after="0"/>
              <w:rPr>
                <w:rFonts w:ascii="TH SarabunPSK" w:eastAsia="Tahoma" w:hAnsi="TH SarabunPSK" w:cs="TH SarabunPSK" w:hint="cs"/>
                <w:sz w:val="28"/>
                <w:szCs w:val="28"/>
              </w:rPr>
            </w:pPr>
          </w:p>
        </w:tc>
      </w:tr>
    </w:tbl>
    <w:p w14:paraId="726510EF" w14:textId="77777777" w:rsidR="00D32D16" w:rsidRDefault="00D32D16" w:rsidP="00D32D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DF2D5D" w14:textId="77777777" w:rsidR="00D32D16" w:rsidRDefault="00D32D16" w:rsidP="00D46BD9">
      <w:pPr>
        <w:ind w:firstLine="7650"/>
        <w:rPr>
          <w:rFonts w:ascii="TH SarabunPSK" w:hAnsi="TH SarabunPSK" w:cs="TH SarabunPSK"/>
          <w:b/>
          <w:bCs/>
          <w:sz w:val="32"/>
          <w:szCs w:val="32"/>
        </w:rPr>
      </w:pPr>
    </w:p>
    <w:p w14:paraId="5615B4BE" w14:textId="77777777" w:rsidR="00D32D16" w:rsidRDefault="00D32D16" w:rsidP="00D46BD9">
      <w:pPr>
        <w:ind w:firstLine="7650"/>
        <w:rPr>
          <w:rFonts w:ascii="TH SarabunPSK" w:hAnsi="TH SarabunPSK" w:cs="TH SarabunPSK"/>
          <w:b/>
          <w:bCs/>
          <w:sz w:val="32"/>
          <w:szCs w:val="32"/>
        </w:rPr>
      </w:pPr>
    </w:p>
    <w:p w14:paraId="5629EED7" w14:textId="7C9D44AE" w:rsidR="00AF48AA" w:rsidRDefault="00AF48AA" w:rsidP="00D46BD9">
      <w:pPr>
        <w:ind w:firstLine="76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AF48A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AF48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AF48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860C0AC" w14:textId="62600B6C" w:rsidR="00E34E42" w:rsidRDefault="00E34E42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19A32A8B" w14:textId="3AB22A3F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600B836F" w14:textId="466AD49F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0B6BA17F" w14:textId="3AEB4367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6E859AEF" w14:textId="39EFAD1D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3AD114D1" w14:textId="029A994A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7FF761E7" w14:textId="3ED37C8D" w:rsidR="009F7FC3" w:rsidRDefault="009F7FC3" w:rsidP="00D46BD9">
      <w:pPr>
        <w:ind w:firstLine="7650"/>
        <w:rPr>
          <w:rFonts w:ascii="TH SarabunPSK" w:hAnsi="TH SarabunPSK" w:cs="TH SarabunPSK"/>
          <w:sz w:val="32"/>
          <w:szCs w:val="32"/>
        </w:rPr>
      </w:pPr>
    </w:p>
    <w:p w14:paraId="525DF288" w14:textId="77777777" w:rsidR="009F7FC3" w:rsidRDefault="009F7FC3" w:rsidP="00D46BD9">
      <w:pPr>
        <w:ind w:firstLine="7650"/>
        <w:rPr>
          <w:rFonts w:ascii="TH SarabunPSK" w:hAnsi="TH SarabunPSK" w:cs="TH SarabunPSK" w:hint="cs"/>
          <w:sz w:val="32"/>
          <w:szCs w:val="32"/>
        </w:rPr>
      </w:pPr>
    </w:p>
    <w:p w14:paraId="78CD676F" w14:textId="008D0F1F" w:rsidR="00E34E42" w:rsidRDefault="00E34E42" w:rsidP="00E34E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4E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14:paraId="3E89D1BB" w14:textId="48207616" w:rsidR="00E34E42" w:rsidRDefault="00E34E42" w:rsidP="009F7FC3">
      <w:pPr>
        <w:pStyle w:val="ListParagraph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 w:rsidRPr="00E34E42">
        <w:rPr>
          <w:rFonts w:ascii="TH SarabunPSK" w:hAnsi="TH SarabunPSK" w:cs="TH SarabunPSK" w:hint="cs"/>
          <w:sz w:val="32"/>
          <w:szCs w:val="32"/>
          <w:cs/>
        </w:rPr>
        <w:t>หากผู้ตรวจประเมินดำเนินการตรวจประเมินเอกสารและสถานประกอบการ เพื่อตรวจสอบ</w:t>
      </w:r>
      <w:r w:rsidRPr="00E34E42">
        <w:rPr>
          <w:rFonts w:ascii="TH SarabunPSK" w:hAnsi="TH SarabunPSK" w:cs="TH SarabunPSK" w:hint="cs"/>
          <w:sz w:val="32"/>
          <w:szCs w:val="32"/>
          <w:cs/>
        </w:rPr>
        <w:t>ความสอดคล้องกับข้อกำหนดฉลากผลิตภัณฑ์หมุนเวียน</w:t>
      </w:r>
      <w:r w:rsidRPr="00E34E42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ให้ยื่น</w:t>
      </w:r>
      <w:r w:rsidRPr="00E34E42">
        <w:rPr>
          <w:rFonts w:ascii="TH SarabunPSK" w:hAnsi="TH SarabunPSK" w:cs="TH SarabunPSK" w:hint="cs"/>
          <w:sz w:val="32"/>
          <w:szCs w:val="32"/>
          <w:cs/>
        </w:rPr>
        <w:t>รายการตรวจสอบความสอดคล้องตามข้อกำหนดฉลากผลิตภัณฑ์หมุนเวียน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34E42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E34E42">
        <w:rPr>
          <w:rFonts w:ascii="TH SarabunPSK" w:hAnsi="TH SarabunPSK" w:cs="TH SarabunPSK"/>
          <w:sz w:val="32"/>
          <w:szCs w:val="32"/>
          <w:cs/>
        </w:rPr>
        <w:t>/</w:t>
      </w:r>
      <w:r w:rsidRPr="00E34E42">
        <w:rPr>
          <w:rFonts w:ascii="TH SarabunPSK" w:hAnsi="TH SarabunPSK" w:cs="TH SarabunPSK" w:hint="cs"/>
          <w:sz w:val="32"/>
          <w:szCs w:val="32"/>
          <w:cs/>
        </w:rPr>
        <w:t>หลักฐานประกอบรายการตรวจสอบความสอดคล้องตามข้อกำหนดฉลากผลิตภัณฑ์หมุนเวียน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มายังสถาบันสิ่งแวดล้อมไทย </w:t>
      </w:r>
      <w:r w:rsidR="009F7FC3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="009F7FC3">
        <w:rPr>
          <w:rFonts w:ascii="TH SarabunPSK" w:hAnsi="TH SarabunPSK" w:cs="TH SarabunPSK"/>
          <w:sz w:val="32"/>
          <w:szCs w:val="32"/>
        </w:rPr>
        <w:t xml:space="preserve">email : </w:t>
      </w:r>
      <w:r w:rsidR="009F7FC3" w:rsidRPr="009F7FC3">
        <w:rPr>
          <w:rFonts w:ascii="TH SarabunPSK" w:hAnsi="TH SarabunPSK" w:cs="TH SarabunPSK"/>
          <w:sz w:val="32"/>
          <w:szCs w:val="32"/>
        </w:rPr>
        <w:t xml:space="preserve">waewta@tei.or.th </w:t>
      </w:r>
      <w:r w:rsidR="009F7FC3" w:rsidRPr="009F7F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F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FC3" w:rsidRPr="009F7FC3">
        <w:rPr>
          <w:rFonts w:ascii="TH SarabunPSK" w:hAnsi="TH SarabunPSK" w:cs="TH SarabunPSK"/>
          <w:sz w:val="32"/>
          <w:szCs w:val="32"/>
        </w:rPr>
        <w:t>jananjit@tei.or.th</w:t>
      </w:r>
    </w:p>
    <w:p w14:paraId="5C37E572" w14:textId="3377AEE3" w:rsidR="00E34E42" w:rsidRPr="00E34E42" w:rsidRDefault="00BA05F6" w:rsidP="00E34E42">
      <w:pPr>
        <w:pStyle w:val="ListParagraph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ระยะเวลาในการตรวจสอบเอกสารและตรวจประเมิน ณ สถานประกอบการ </w:t>
      </w:r>
      <w:r>
        <w:rPr>
          <w:rFonts w:ascii="TH SarabunPSK" w:hAnsi="TH SarabunPSK" w:cs="TH SarabunPSK"/>
          <w:sz w:val="32"/>
          <w:szCs w:val="32"/>
        </w:rPr>
        <w:t>: 2-5 man-days</w:t>
      </w:r>
      <w:bookmarkStart w:id="0" w:name="_GoBack"/>
      <w:bookmarkEnd w:id="0"/>
    </w:p>
    <w:p w14:paraId="3C20E45F" w14:textId="77777777" w:rsidR="00E34E42" w:rsidRPr="00AF48AA" w:rsidRDefault="00E34E42" w:rsidP="00E34E42">
      <w:pPr>
        <w:rPr>
          <w:rFonts w:ascii="TH SarabunPSK" w:eastAsia="Tahoma" w:hAnsi="TH SarabunPSK" w:cs="TH SarabunPSK" w:hint="cs"/>
          <w:sz w:val="32"/>
          <w:szCs w:val="32"/>
        </w:rPr>
      </w:pPr>
    </w:p>
    <w:sectPr w:rsidR="00E34E42" w:rsidRPr="00AF48AA" w:rsidSect="00160546">
      <w:footerReference w:type="default" r:id="rId12"/>
      <w:pgSz w:w="15840" w:h="12240" w:orient="landscape"/>
      <w:pgMar w:top="720" w:right="720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76B4" w14:textId="77777777" w:rsidR="00D86573" w:rsidRDefault="00D86573">
      <w:pPr>
        <w:spacing w:after="0" w:line="240" w:lineRule="auto"/>
      </w:pPr>
      <w:r>
        <w:separator/>
      </w:r>
    </w:p>
  </w:endnote>
  <w:endnote w:type="continuationSeparator" w:id="0">
    <w:p w14:paraId="577995B7" w14:textId="77777777" w:rsidR="00D86573" w:rsidRDefault="00D8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894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45C51E07" w14:textId="77777777" w:rsidR="00FD2538" w:rsidRPr="00616E70" w:rsidRDefault="00FD2538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</w:p>
      <w:tbl>
        <w:tblPr>
          <w:tblStyle w:val="TableGrid"/>
          <w:tblW w:w="935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35"/>
          <w:gridCol w:w="3330"/>
          <w:gridCol w:w="2790"/>
        </w:tblGrid>
        <w:tr w:rsidR="00FD2538" w:rsidRPr="00FD2538" w14:paraId="68A19C2B" w14:textId="77777777" w:rsidTr="00FD2538">
          <w:tc>
            <w:tcPr>
              <w:tcW w:w="3235" w:type="dxa"/>
            </w:tcPr>
            <w:p w14:paraId="361DD347" w14:textId="77777777" w:rsidR="00FD2538" w:rsidRPr="00FD2538" w:rsidRDefault="00FD2538" w:rsidP="00FD2538">
              <w:pPr>
                <w:pStyle w:val="Header"/>
                <w:jc w:val="center"/>
                <w:rPr>
                  <w:sz w:val="24"/>
                  <w:szCs w:val="24"/>
                </w:rPr>
              </w:pPr>
            </w:p>
          </w:tc>
          <w:tc>
            <w:tcPr>
              <w:tcW w:w="3330" w:type="dxa"/>
            </w:tcPr>
            <w:p w14:paraId="313F1160" w14:textId="78988EC0" w:rsidR="00FD2538" w:rsidRPr="00FD2538" w:rsidRDefault="00FD2538" w:rsidP="00FD2538">
              <w:pPr>
                <w:pStyle w:val="Header"/>
                <w:jc w:val="center"/>
                <w:rPr>
                  <w:sz w:val="24"/>
                  <w:szCs w:val="24"/>
                </w:rPr>
              </w:pP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fldChar w:fldCharType="begin"/>
              </w: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instrText xml:space="preserve"> PAGE   \* MERGEFORMAT </w:instrText>
              </w: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fldChar w:fldCharType="separate"/>
              </w:r>
              <w:r w:rsidR="00BA05F6">
                <w:rPr>
                  <w:rFonts w:ascii="TH SarabunPSK" w:hAnsi="TH SarabunPSK" w:cs="TH SarabunPSK"/>
                  <w:noProof/>
                  <w:sz w:val="24"/>
                  <w:szCs w:val="24"/>
                </w:rPr>
                <w:t>2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</w:rPr>
                <w:fldChar w:fldCharType="end"/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t>/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begin"/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instrText xml:space="preserve"> 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</w:rPr>
                <w:instrText>NUMPAGES  \* Arabic  \* MERGEFORMAT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instrText xml:space="preserve"> 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separate"/>
              </w:r>
              <w:r w:rsidR="00BA05F6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t>15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end"/>
              </w:r>
            </w:p>
          </w:tc>
          <w:tc>
            <w:tcPr>
              <w:tcW w:w="2790" w:type="dxa"/>
            </w:tcPr>
            <w:p w14:paraId="5B8A6DC2" w14:textId="77777777" w:rsidR="00FD2538" w:rsidRPr="00FD2538" w:rsidRDefault="00FD2538" w:rsidP="00FD2538">
              <w:pPr>
                <w:pStyle w:val="Header"/>
                <w:jc w:val="right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t>Rev. 01/256</w:t>
              </w:r>
              <w:r w:rsidRPr="00FD2538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7</w:t>
              </w:r>
            </w:p>
          </w:tc>
        </w:tr>
      </w:tbl>
      <w:p w14:paraId="3F241FBF" w14:textId="53191F82" w:rsidR="00A466C6" w:rsidRPr="00616E70" w:rsidRDefault="00D86573" w:rsidP="00FD2538">
        <w:pPr>
          <w:pStyle w:val="Footer"/>
          <w:rPr>
            <w:rFonts w:ascii="TH SarabunPSK" w:hAnsi="TH SarabunPSK" w:cs="TH SarabunPSK"/>
            <w:sz w:val="28"/>
            <w:szCs w:val="28"/>
          </w:rPr>
        </w:pPr>
      </w:p>
    </w:sdtContent>
  </w:sdt>
  <w:p w14:paraId="7A430733" w14:textId="77777777" w:rsidR="00A466C6" w:rsidRDefault="00A4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910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1EB7E491" w14:textId="77777777" w:rsidR="0006409A" w:rsidRPr="00616E70" w:rsidRDefault="0006409A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</w:p>
      <w:tbl>
        <w:tblPr>
          <w:tblStyle w:val="TableGrid"/>
          <w:tblW w:w="1358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75"/>
          <w:gridCol w:w="2160"/>
          <w:gridCol w:w="5850"/>
        </w:tblGrid>
        <w:tr w:rsidR="0006409A" w:rsidRPr="00FD2538" w14:paraId="240C4014" w14:textId="77777777" w:rsidTr="0006409A">
          <w:tc>
            <w:tcPr>
              <w:tcW w:w="5575" w:type="dxa"/>
            </w:tcPr>
            <w:p w14:paraId="0FC8605A" w14:textId="77777777" w:rsidR="0006409A" w:rsidRPr="00FD2538" w:rsidRDefault="0006409A" w:rsidP="00FD2538">
              <w:pPr>
                <w:pStyle w:val="Header"/>
                <w:jc w:val="center"/>
                <w:rPr>
                  <w:sz w:val="24"/>
                  <w:szCs w:val="24"/>
                </w:rPr>
              </w:pPr>
            </w:p>
          </w:tc>
          <w:tc>
            <w:tcPr>
              <w:tcW w:w="2160" w:type="dxa"/>
            </w:tcPr>
            <w:p w14:paraId="15250FB9" w14:textId="6CE640F4" w:rsidR="0006409A" w:rsidRPr="00FD2538" w:rsidRDefault="0006409A" w:rsidP="00FD2538">
              <w:pPr>
                <w:pStyle w:val="Header"/>
                <w:jc w:val="center"/>
                <w:rPr>
                  <w:sz w:val="24"/>
                  <w:szCs w:val="24"/>
                </w:rPr>
              </w:pP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fldChar w:fldCharType="begin"/>
              </w: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instrText xml:space="preserve"> PAGE   \* MERGEFORMAT </w:instrText>
              </w: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fldChar w:fldCharType="separate"/>
              </w:r>
              <w:r w:rsidR="00BA05F6">
                <w:rPr>
                  <w:rFonts w:ascii="TH SarabunPSK" w:hAnsi="TH SarabunPSK" w:cs="TH SarabunPSK"/>
                  <w:noProof/>
                  <w:sz w:val="24"/>
                  <w:szCs w:val="24"/>
                </w:rPr>
                <w:t>10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</w:rPr>
                <w:fldChar w:fldCharType="end"/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t>/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begin"/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instrText xml:space="preserve"> 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</w:rPr>
                <w:instrText>NUMPAGES  \* Arabic  \* MERGEFORMAT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instrText xml:space="preserve"> </w:instrTex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separate"/>
              </w:r>
              <w:r w:rsidR="00BA05F6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t>15</w:t>
              </w:r>
              <w:r w:rsidRPr="00FD2538">
                <w:rPr>
                  <w:rFonts w:ascii="TH SarabunPSK" w:hAnsi="TH SarabunPSK" w:cs="TH SarabunPSK"/>
                  <w:noProof/>
                  <w:sz w:val="24"/>
                  <w:szCs w:val="24"/>
                  <w:cs/>
                </w:rPr>
                <w:fldChar w:fldCharType="end"/>
              </w:r>
            </w:p>
          </w:tc>
          <w:tc>
            <w:tcPr>
              <w:tcW w:w="5850" w:type="dxa"/>
            </w:tcPr>
            <w:p w14:paraId="49D8FA6F" w14:textId="77777777" w:rsidR="0006409A" w:rsidRPr="00FD2538" w:rsidRDefault="0006409A" w:rsidP="00FD2538">
              <w:pPr>
                <w:pStyle w:val="Header"/>
                <w:jc w:val="right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FD2538">
                <w:rPr>
                  <w:rFonts w:ascii="TH SarabunPSK" w:hAnsi="TH SarabunPSK" w:cs="TH SarabunPSK"/>
                  <w:sz w:val="24"/>
                  <w:szCs w:val="24"/>
                </w:rPr>
                <w:t>Rev. 01/256</w:t>
              </w:r>
              <w:r w:rsidRPr="00FD2538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7</w:t>
              </w:r>
            </w:p>
          </w:tc>
        </w:tr>
      </w:tbl>
      <w:p w14:paraId="05030B3F" w14:textId="77777777" w:rsidR="0006409A" w:rsidRPr="00616E70" w:rsidRDefault="0006409A" w:rsidP="00FD2538">
        <w:pPr>
          <w:pStyle w:val="Footer"/>
          <w:rPr>
            <w:rFonts w:ascii="TH SarabunPSK" w:hAnsi="TH SarabunPSK" w:cs="TH SarabunPSK"/>
            <w:sz w:val="28"/>
            <w:szCs w:val="28"/>
          </w:rPr>
        </w:pPr>
      </w:p>
    </w:sdtContent>
  </w:sdt>
  <w:p w14:paraId="60D32A67" w14:textId="77777777" w:rsidR="0006409A" w:rsidRDefault="0006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101F" w14:textId="77777777" w:rsidR="00D86573" w:rsidRDefault="00D86573">
      <w:pPr>
        <w:spacing w:after="0" w:line="240" w:lineRule="auto"/>
      </w:pPr>
      <w:r>
        <w:separator/>
      </w:r>
    </w:p>
  </w:footnote>
  <w:footnote w:type="continuationSeparator" w:id="0">
    <w:p w14:paraId="7F87533D" w14:textId="77777777" w:rsidR="00D86573" w:rsidRDefault="00D8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5B89" w14:textId="77777777" w:rsidR="00A466C6" w:rsidRDefault="00A46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3FD"/>
    <w:multiLevelType w:val="hybridMultilevel"/>
    <w:tmpl w:val="42D0A728"/>
    <w:lvl w:ilvl="0" w:tplc="5B0A01A6">
      <w:start w:val="1"/>
      <w:numFmt w:val="decimal"/>
      <w:lvlText w:val="%1)"/>
      <w:lvlJc w:val="left"/>
      <w:pPr>
        <w:ind w:left="720" w:hanging="360"/>
      </w:pPr>
      <w:rPr>
        <w:rFonts w:ascii="TH SarabunPSK" w:eastAsia="Tahoma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1AB"/>
    <w:multiLevelType w:val="hybridMultilevel"/>
    <w:tmpl w:val="00A2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663"/>
    <w:multiLevelType w:val="multilevel"/>
    <w:tmpl w:val="7CA65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AE1FCF"/>
    <w:multiLevelType w:val="multilevel"/>
    <w:tmpl w:val="25126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E630E8"/>
    <w:multiLevelType w:val="multilevel"/>
    <w:tmpl w:val="EE164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026C9E"/>
    <w:multiLevelType w:val="hybridMultilevel"/>
    <w:tmpl w:val="90802C6A"/>
    <w:lvl w:ilvl="0" w:tplc="2FE60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6BBC"/>
    <w:multiLevelType w:val="multilevel"/>
    <w:tmpl w:val="D47C2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037667"/>
    <w:multiLevelType w:val="multilevel"/>
    <w:tmpl w:val="255CB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091E00"/>
    <w:multiLevelType w:val="hybridMultilevel"/>
    <w:tmpl w:val="0AF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4F60"/>
    <w:multiLevelType w:val="multilevel"/>
    <w:tmpl w:val="BA365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4A76F9"/>
    <w:multiLevelType w:val="hybridMultilevel"/>
    <w:tmpl w:val="1D1AF48E"/>
    <w:lvl w:ilvl="0" w:tplc="6B6687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3909"/>
    <w:multiLevelType w:val="multilevel"/>
    <w:tmpl w:val="FC2012D0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D1C70D2"/>
    <w:multiLevelType w:val="multilevel"/>
    <w:tmpl w:val="6456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96707A6"/>
    <w:multiLevelType w:val="hybridMultilevel"/>
    <w:tmpl w:val="E28EFDB2"/>
    <w:lvl w:ilvl="0" w:tplc="6032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74C4"/>
    <w:multiLevelType w:val="multilevel"/>
    <w:tmpl w:val="966C3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CE26AA"/>
    <w:multiLevelType w:val="hybridMultilevel"/>
    <w:tmpl w:val="A0485F4C"/>
    <w:lvl w:ilvl="0" w:tplc="636EFCBC">
      <w:start w:val="1"/>
      <w:numFmt w:val="decimal"/>
      <w:lvlText w:val="%1)"/>
      <w:lvlJc w:val="left"/>
      <w:pPr>
        <w:ind w:left="720" w:hanging="360"/>
      </w:pPr>
      <w:rPr>
        <w:rFonts w:ascii="TH SarabunPSK" w:eastAsia="Tahoma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063C1"/>
    <w:multiLevelType w:val="hybridMultilevel"/>
    <w:tmpl w:val="682274A8"/>
    <w:lvl w:ilvl="0" w:tplc="C6FC3DF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7E1281"/>
    <w:multiLevelType w:val="multilevel"/>
    <w:tmpl w:val="36524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575FFD"/>
    <w:multiLevelType w:val="hybridMultilevel"/>
    <w:tmpl w:val="1F9C23AC"/>
    <w:lvl w:ilvl="0" w:tplc="EAE2A09C">
      <w:start w:val="1"/>
      <w:numFmt w:val="decimal"/>
      <w:lvlText w:val="%1)"/>
      <w:lvlJc w:val="left"/>
      <w:pPr>
        <w:ind w:left="720" w:hanging="360"/>
      </w:pPr>
      <w:rPr>
        <w:rFonts w:ascii="TH SarabunPSK" w:eastAsia="Tahom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15A"/>
    <w:multiLevelType w:val="multilevel"/>
    <w:tmpl w:val="931E8F82"/>
    <w:lvl w:ilvl="0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920961"/>
    <w:multiLevelType w:val="hybridMultilevel"/>
    <w:tmpl w:val="4CE8EE70"/>
    <w:lvl w:ilvl="0" w:tplc="6BCCE164">
      <w:start w:val="1"/>
      <w:numFmt w:val="bullet"/>
      <w:lvlText w:val="-"/>
      <w:lvlJc w:val="left"/>
      <w:pPr>
        <w:ind w:left="604" w:hanging="360"/>
      </w:pPr>
      <w:rPr>
        <w:rFonts w:ascii="TH SarabunPSK" w:eastAsia="Tahoma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1" w15:restartNumberingAfterBreak="0">
    <w:nsid w:val="75D77D96"/>
    <w:multiLevelType w:val="multilevel"/>
    <w:tmpl w:val="89A60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21"/>
  </w:num>
  <w:num w:numId="6">
    <w:abstractNumId w:val="17"/>
  </w:num>
  <w:num w:numId="7">
    <w:abstractNumId w:val="7"/>
  </w:num>
  <w:num w:numId="8">
    <w:abstractNumId w:val="6"/>
  </w:num>
  <w:num w:numId="9">
    <w:abstractNumId w:val="2"/>
  </w:num>
  <w:num w:numId="10">
    <w:abstractNumId w:val="19"/>
  </w:num>
  <w:num w:numId="11">
    <w:abstractNumId w:val="12"/>
  </w:num>
  <w:num w:numId="12">
    <w:abstractNumId w:val="11"/>
  </w:num>
  <w:num w:numId="13">
    <w:abstractNumId w:val="10"/>
  </w:num>
  <w:num w:numId="14">
    <w:abstractNumId w:val="20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18"/>
  </w:num>
  <w:num w:numId="20">
    <w:abstractNumId w:val="1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7"/>
    <w:rsid w:val="00015352"/>
    <w:rsid w:val="00024525"/>
    <w:rsid w:val="00044FB2"/>
    <w:rsid w:val="00046ADB"/>
    <w:rsid w:val="00057908"/>
    <w:rsid w:val="0006409A"/>
    <w:rsid w:val="000A1AE5"/>
    <w:rsid w:val="000B03DF"/>
    <w:rsid w:val="000B35CC"/>
    <w:rsid w:val="000D642E"/>
    <w:rsid w:val="000F54CF"/>
    <w:rsid w:val="00100A30"/>
    <w:rsid w:val="001443E4"/>
    <w:rsid w:val="00160546"/>
    <w:rsid w:val="00162C3C"/>
    <w:rsid w:val="001656A8"/>
    <w:rsid w:val="001773CA"/>
    <w:rsid w:val="001864E9"/>
    <w:rsid w:val="001B6485"/>
    <w:rsid w:val="001C76B0"/>
    <w:rsid w:val="001E3E7B"/>
    <w:rsid w:val="001E546A"/>
    <w:rsid w:val="001F04BE"/>
    <w:rsid w:val="00200B11"/>
    <w:rsid w:val="00200E23"/>
    <w:rsid w:val="0020756A"/>
    <w:rsid w:val="00222BC3"/>
    <w:rsid w:val="00242418"/>
    <w:rsid w:val="00255D85"/>
    <w:rsid w:val="00265F49"/>
    <w:rsid w:val="002B4565"/>
    <w:rsid w:val="002B7EA5"/>
    <w:rsid w:val="002C0DCE"/>
    <w:rsid w:val="002E2C73"/>
    <w:rsid w:val="002E4F2C"/>
    <w:rsid w:val="002E69CD"/>
    <w:rsid w:val="002F1B12"/>
    <w:rsid w:val="00304FEE"/>
    <w:rsid w:val="003221DC"/>
    <w:rsid w:val="00325238"/>
    <w:rsid w:val="00336D73"/>
    <w:rsid w:val="00357816"/>
    <w:rsid w:val="00371912"/>
    <w:rsid w:val="003A2775"/>
    <w:rsid w:val="003D0D14"/>
    <w:rsid w:val="003F11C2"/>
    <w:rsid w:val="00427411"/>
    <w:rsid w:val="004432B4"/>
    <w:rsid w:val="004522CE"/>
    <w:rsid w:val="00461924"/>
    <w:rsid w:val="00462281"/>
    <w:rsid w:val="00472B2B"/>
    <w:rsid w:val="00472F28"/>
    <w:rsid w:val="004A1C0E"/>
    <w:rsid w:val="004B01FA"/>
    <w:rsid w:val="004C5457"/>
    <w:rsid w:val="004C6FDA"/>
    <w:rsid w:val="004D0D02"/>
    <w:rsid w:val="004E70F7"/>
    <w:rsid w:val="0050018C"/>
    <w:rsid w:val="00514B59"/>
    <w:rsid w:val="00560EFA"/>
    <w:rsid w:val="005622ED"/>
    <w:rsid w:val="00573C6D"/>
    <w:rsid w:val="0058251F"/>
    <w:rsid w:val="00595148"/>
    <w:rsid w:val="0059556C"/>
    <w:rsid w:val="005A45CE"/>
    <w:rsid w:val="005B1CB5"/>
    <w:rsid w:val="005B2308"/>
    <w:rsid w:val="005B586A"/>
    <w:rsid w:val="005C532C"/>
    <w:rsid w:val="005D6A7D"/>
    <w:rsid w:val="005D7D7A"/>
    <w:rsid w:val="005E443F"/>
    <w:rsid w:val="005F04C3"/>
    <w:rsid w:val="005F6994"/>
    <w:rsid w:val="006150CF"/>
    <w:rsid w:val="00616E70"/>
    <w:rsid w:val="00620EC7"/>
    <w:rsid w:val="00623345"/>
    <w:rsid w:val="00623669"/>
    <w:rsid w:val="00624077"/>
    <w:rsid w:val="00627057"/>
    <w:rsid w:val="0063553B"/>
    <w:rsid w:val="006379C7"/>
    <w:rsid w:val="00642C62"/>
    <w:rsid w:val="006471FA"/>
    <w:rsid w:val="00657531"/>
    <w:rsid w:val="006604E5"/>
    <w:rsid w:val="00663DA0"/>
    <w:rsid w:val="00681007"/>
    <w:rsid w:val="00686ACE"/>
    <w:rsid w:val="006A2CC5"/>
    <w:rsid w:val="006A7DB0"/>
    <w:rsid w:val="006C0E8B"/>
    <w:rsid w:val="006C3A1E"/>
    <w:rsid w:val="006C7982"/>
    <w:rsid w:val="006E38A3"/>
    <w:rsid w:val="006E6B33"/>
    <w:rsid w:val="006F227A"/>
    <w:rsid w:val="006F4538"/>
    <w:rsid w:val="007011CC"/>
    <w:rsid w:val="00701366"/>
    <w:rsid w:val="007137DB"/>
    <w:rsid w:val="007163D1"/>
    <w:rsid w:val="007355AC"/>
    <w:rsid w:val="007358BC"/>
    <w:rsid w:val="00747853"/>
    <w:rsid w:val="00753014"/>
    <w:rsid w:val="007543E7"/>
    <w:rsid w:val="007734B4"/>
    <w:rsid w:val="00773924"/>
    <w:rsid w:val="007A1C47"/>
    <w:rsid w:val="007E6C80"/>
    <w:rsid w:val="00800D98"/>
    <w:rsid w:val="0080478D"/>
    <w:rsid w:val="00830CE3"/>
    <w:rsid w:val="00833E3F"/>
    <w:rsid w:val="0087594A"/>
    <w:rsid w:val="008806CC"/>
    <w:rsid w:val="00886BB3"/>
    <w:rsid w:val="0089181C"/>
    <w:rsid w:val="008A0FD4"/>
    <w:rsid w:val="008A2265"/>
    <w:rsid w:val="008C3E5A"/>
    <w:rsid w:val="008D00DE"/>
    <w:rsid w:val="008D1DD9"/>
    <w:rsid w:val="00900E13"/>
    <w:rsid w:val="009066E3"/>
    <w:rsid w:val="0090671A"/>
    <w:rsid w:val="00911D99"/>
    <w:rsid w:val="00912C90"/>
    <w:rsid w:val="00923209"/>
    <w:rsid w:val="0095610F"/>
    <w:rsid w:val="0096591F"/>
    <w:rsid w:val="00967E16"/>
    <w:rsid w:val="00973CB4"/>
    <w:rsid w:val="00975920"/>
    <w:rsid w:val="0098270E"/>
    <w:rsid w:val="00991DF4"/>
    <w:rsid w:val="0099628B"/>
    <w:rsid w:val="009D377C"/>
    <w:rsid w:val="009D3F60"/>
    <w:rsid w:val="009D45E2"/>
    <w:rsid w:val="009F7FC3"/>
    <w:rsid w:val="00A11F52"/>
    <w:rsid w:val="00A235A6"/>
    <w:rsid w:val="00A25661"/>
    <w:rsid w:val="00A32D1F"/>
    <w:rsid w:val="00A466C6"/>
    <w:rsid w:val="00A60EDC"/>
    <w:rsid w:val="00A660DC"/>
    <w:rsid w:val="00A75AFF"/>
    <w:rsid w:val="00A825E3"/>
    <w:rsid w:val="00AA03D6"/>
    <w:rsid w:val="00AB0766"/>
    <w:rsid w:val="00AC0B48"/>
    <w:rsid w:val="00AC241F"/>
    <w:rsid w:val="00AF3575"/>
    <w:rsid w:val="00AF48AA"/>
    <w:rsid w:val="00AF7C30"/>
    <w:rsid w:val="00B14AEC"/>
    <w:rsid w:val="00B20DB1"/>
    <w:rsid w:val="00B26C5E"/>
    <w:rsid w:val="00B3109D"/>
    <w:rsid w:val="00B35B10"/>
    <w:rsid w:val="00B35F79"/>
    <w:rsid w:val="00B40E79"/>
    <w:rsid w:val="00B534A3"/>
    <w:rsid w:val="00B73D50"/>
    <w:rsid w:val="00B74DC1"/>
    <w:rsid w:val="00B80AF3"/>
    <w:rsid w:val="00B80DB8"/>
    <w:rsid w:val="00B82CB6"/>
    <w:rsid w:val="00BA05F6"/>
    <w:rsid w:val="00BF20DF"/>
    <w:rsid w:val="00BF60FC"/>
    <w:rsid w:val="00C17D4E"/>
    <w:rsid w:val="00C343F5"/>
    <w:rsid w:val="00C51D74"/>
    <w:rsid w:val="00C66DCF"/>
    <w:rsid w:val="00C75D51"/>
    <w:rsid w:val="00C81BF0"/>
    <w:rsid w:val="00CA27F6"/>
    <w:rsid w:val="00CA3050"/>
    <w:rsid w:val="00CB2349"/>
    <w:rsid w:val="00CB7786"/>
    <w:rsid w:val="00CC2B35"/>
    <w:rsid w:val="00D15D40"/>
    <w:rsid w:val="00D26E4C"/>
    <w:rsid w:val="00D32D16"/>
    <w:rsid w:val="00D33D29"/>
    <w:rsid w:val="00D4520D"/>
    <w:rsid w:val="00D46BD9"/>
    <w:rsid w:val="00D52AF7"/>
    <w:rsid w:val="00D579CD"/>
    <w:rsid w:val="00D75B27"/>
    <w:rsid w:val="00D86573"/>
    <w:rsid w:val="00DC1FCB"/>
    <w:rsid w:val="00DC6D7D"/>
    <w:rsid w:val="00DC7F24"/>
    <w:rsid w:val="00DD74B2"/>
    <w:rsid w:val="00DF2294"/>
    <w:rsid w:val="00DF5993"/>
    <w:rsid w:val="00E12DB4"/>
    <w:rsid w:val="00E266DB"/>
    <w:rsid w:val="00E316CD"/>
    <w:rsid w:val="00E34E42"/>
    <w:rsid w:val="00E41C88"/>
    <w:rsid w:val="00E54125"/>
    <w:rsid w:val="00E7689D"/>
    <w:rsid w:val="00E851A3"/>
    <w:rsid w:val="00E87BB2"/>
    <w:rsid w:val="00EA55D6"/>
    <w:rsid w:val="00EB1352"/>
    <w:rsid w:val="00ED3B4F"/>
    <w:rsid w:val="00EF1235"/>
    <w:rsid w:val="00EF632A"/>
    <w:rsid w:val="00F05E0E"/>
    <w:rsid w:val="00F12840"/>
    <w:rsid w:val="00F15CEF"/>
    <w:rsid w:val="00F218F7"/>
    <w:rsid w:val="00F27964"/>
    <w:rsid w:val="00F33C6F"/>
    <w:rsid w:val="00F36E8F"/>
    <w:rsid w:val="00F437C2"/>
    <w:rsid w:val="00F51C53"/>
    <w:rsid w:val="00F5526E"/>
    <w:rsid w:val="00F70C30"/>
    <w:rsid w:val="00F848A2"/>
    <w:rsid w:val="00F8710A"/>
    <w:rsid w:val="00F91E30"/>
    <w:rsid w:val="00F9593E"/>
    <w:rsid w:val="00F964AF"/>
    <w:rsid w:val="00F96FC5"/>
    <w:rsid w:val="00FC56DF"/>
    <w:rsid w:val="00FD1FA9"/>
    <w:rsid w:val="00FD2538"/>
    <w:rsid w:val="00FE1D9B"/>
    <w:rsid w:val="00FE4708"/>
    <w:rsid w:val="00FE7AA0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7FE5F"/>
  <w15:docId w15:val="{42BB32D4-0CB9-4BA8-93C9-3408C4A9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1D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3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D7"/>
  </w:style>
  <w:style w:type="paragraph" w:styleId="Footer">
    <w:name w:val="footer"/>
    <w:basedOn w:val="Normal"/>
    <w:link w:val="FooterChar"/>
    <w:uiPriority w:val="99"/>
    <w:unhideWhenUsed/>
    <w:rsid w:val="00C5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D7"/>
  </w:style>
  <w:style w:type="character" w:styleId="Hyperlink">
    <w:name w:val="Hyperlink"/>
    <w:basedOn w:val="DefaultParagraphFont"/>
    <w:uiPriority w:val="99"/>
    <w:unhideWhenUsed/>
    <w:rsid w:val="0023363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40E79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A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6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6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6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Segoe UI" w:hAnsi="Segoe UI" w:cs="Angsana New"/>
      <w:sz w:val="18"/>
    </w:rPr>
  </w:style>
  <w:style w:type="paragraph" w:styleId="Revision">
    <w:name w:val="Revision"/>
    <w:hidden/>
    <w:uiPriority w:val="99"/>
    <w:semiHidden/>
    <w:rsid w:val="0099628B"/>
    <w:pPr>
      <w:spacing w:after="0" w:line="240" w:lineRule="auto"/>
    </w:pPr>
    <w:rPr>
      <w:rFonts w:cs="Angsana New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D1DD9"/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wia.org/policie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3LF6QUZZr/IQDz4JxUG00jy5A==">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CD8E15-19F4-49E4-AB10-C5DC8CF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Waewta Bavontaweepanya</cp:lastModifiedBy>
  <cp:revision>19</cp:revision>
  <cp:lastPrinted>2023-10-30T09:23:00Z</cp:lastPrinted>
  <dcterms:created xsi:type="dcterms:W3CDTF">2023-10-24T04:44:00Z</dcterms:created>
  <dcterms:modified xsi:type="dcterms:W3CDTF">2024-01-12T03:49:00Z</dcterms:modified>
</cp:coreProperties>
</file>